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72"/>
        </w:rPr>
      </w:pPr>
      <w:bookmarkStart w:id="0" w:name="_Toc_4_4_0000000020"/>
      <w:r>
        <w:rPr>
          <w:rFonts w:hint="eastAsia" w:ascii="方正小标宋_GBK" w:eastAsia="方正小标宋_GBK"/>
          <w:sz w:val="72"/>
        </w:rPr>
        <w:t>202</w:t>
      </w:r>
      <w:r>
        <w:rPr>
          <w:rFonts w:hint="eastAsia" w:ascii="方正小标宋_GBK" w:eastAsia="方正小标宋_GBK"/>
          <w:sz w:val="72"/>
          <w:lang w:val="en-US" w:eastAsia="zh-CN"/>
        </w:rPr>
        <w:t>2</w:t>
      </w:r>
      <w:r>
        <w:rPr>
          <w:rFonts w:hint="eastAsia" w:ascii="方正小标宋_GBK" w:eastAsia="方正小标宋_GBK"/>
          <w:sz w:val="72"/>
        </w:rPr>
        <w:t>年市级</w:t>
      </w:r>
      <w:r>
        <w:rPr>
          <w:rFonts w:hint="eastAsia" w:ascii="方正小标宋_GBK" w:eastAsia="方正小标宋_GBK"/>
          <w:sz w:val="72"/>
          <w:lang w:eastAsia="zh-CN"/>
        </w:rPr>
        <w:t>单位</w:t>
      </w:r>
      <w:r>
        <w:rPr>
          <w:rFonts w:hint="eastAsia" w:ascii="方正小标宋_GBK" w:eastAsia="方正小标宋_GBK"/>
          <w:sz w:val="72"/>
        </w:rPr>
        <w:t>预算</w:t>
      </w:r>
    </w:p>
    <w:p>
      <w:pPr>
        <w:jc w:val="center"/>
        <w:rPr>
          <w:rFonts w:hint="eastAsia" w:ascii="方正小标宋_GBK" w:eastAsia="方正小标宋_GBK"/>
          <w:sz w:val="52"/>
        </w:rPr>
      </w:pP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hint="eastAsia" w:ascii="方正楷体_GBK" w:eastAsia="方正楷体_GBK"/>
          <w:b/>
          <w:sz w:val="52"/>
        </w:rPr>
      </w:pPr>
      <w:r>
        <w:rPr>
          <w:rFonts w:hint="eastAsia" w:ascii="方正楷体_GBK" w:eastAsia="方正楷体_GBK"/>
          <w:b/>
          <w:sz w:val="52"/>
        </w:rPr>
        <w:t>秦皇岛市第一中学</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hint="eastAsia" w:ascii="方正楷体_GBK" w:eastAsia="方正楷体_GBK"/>
          <w:b/>
          <w:sz w:val="32"/>
        </w:rPr>
      </w:pPr>
      <w:r>
        <w:rPr>
          <w:rFonts w:hint="eastAsia" w:ascii="方正楷体_GBK" w:eastAsia="方正楷体_GBK"/>
          <w:b/>
          <w:sz w:val="32"/>
        </w:rPr>
        <w:t>秦皇岛市第一中学编制</w:t>
      </w:r>
    </w:p>
    <w:p>
      <w:pPr>
        <w:jc w:val="center"/>
        <w:rPr>
          <w:rFonts w:hint="eastAsia" w:ascii="方正楷体_GBK" w:eastAsia="方正楷体_GBK"/>
          <w:b/>
          <w:sz w:val="32"/>
        </w:rPr>
      </w:pPr>
      <w:r>
        <w:rPr>
          <w:rFonts w:hint="eastAsia" w:ascii="方正楷体_GBK" w:eastAsia="方正楷体_GBK"/>
          <w:b/>
          <w:sz w:val="32"/>
        </w:rPr>
        <w:t>秦皇岛市财政局审核</w:t>
      </w:r>
    </w:p>
    <w:p>
      <w:pPr>
        <w:jc w:val="center"/>
        <w:sectPr>
          <w:headerReference r:id="rId3" w:type="default"/>
          <w:footerReference r:id="rId4" w:type="even"/>
          <w:pgSz w:w="11907" w:h="16839"/>
          <w:pgMar w:top="1440" w:right="1797" w:bottom="1440" w:left="1740" w:header="851" w:footer="992" w:gutter="0"/>
          <w:cols w:space="720" w:num="1"/>
          <w:docGrid w:type="lines" w:linePitch="312" w:charSpace="0"/>
        </w:sectPr>
      </w:pPr>
    </w:p>
    <w:p>
      <w:pPr>
        <w:jc w:val="center"/>
        <w:rPr>
          <w:rFonts w:ascii="方正小标宋_GBK" w:eastAsia="方正小标宋_GBK"/>
          <w:sz w:val="36"/>
        </w:rPr>
      </w:pPr>
      <w:r>
        <w:rPr>
          <w:rFonts w:ascii="方正小标宋_GBK" w:eastAsia="方正小标宋_GBK"/>
          <w:sz w:val="36"/>
        </w:rPr>
        <w:t xml:space="preserve"> </w:t>
      </w:r>
    </w:p>
    <w:p>
      <w:pPr>
        <w:jc w:val="center"/>
        <w:rPr>
          <w:rFonts w:hint="eastAsia" w:ascii="方正小标宋_GBK" w:eastAsia="方正小标宋_GBK"/>
          <w:sz w:val="36"/>
        </w:rPr>
      </w:pPr>
      <w:r>
        <w:rPr>
          <w:rFonts w:hint="eastAsia" w:ascii="方正小标宋_GBK" w:eastAsia="方正小标宋_GBK"/>
          <w:sz w:val="36"/>
        </w:rPr>
        <w:t>预 算 公 开 表 目 录</w:t>
      </w:r>
    </w:p>
    <w:p>
      <w:pPr>
        <w:jc w:val="center"/>
        <w:rPr>
          <w:rFonts w:hint="eastAsia" w:ascii="方正小标宋_GBK" w:eastAsia="方正小标宋_GBK"/>
          <w:sz w:val="30"/>
        </w:rPr>
      </w:pPr>
      <w:r>
        <w:rPr>
          <w:rFonts w:ascii="方正仿宋_GBK" w:hAnsi="Times New Roman" w:eastAsia="方正仿宋_GBK" w:cs="方正仿宋_GBK"/>
          <w:sz w:val="28"/>
          <w:szCs w:val="28"/>
        </w:rPr>
        <w:fldChar w:fldCharType="begin"/>
      </w:r>
      <w:r>
        <w:rPr>
          <w:rFonts w:ascii="方正仿宋_GBK" w:hAnsi="Times New Roman" w:eastAsia="方正仿宋_GBK" w:cs="方正仿宋_GBK"/>
          <w:sz w:val="28"/>
          <w:szCs w:val="28"/>
        </w:rPr>
        <w:instrText xml:space="preserve"> TOC \o "2-2" \h \z \u \t "-1" </w:instrText>
      </w:r>
      <w:r>
        <w:rPr>
          <w:rFonts w:ascii="方正仿宋_GBK" w:hAnsi="Times New Roman" w:eastAsia="方正仿宋_GBK" w:cs="方正仿宋_GBK"/>
          <w:sz w:val="28"/>
          <w:szCs w:val="28"/>
        </w:rPr>
        <w:fldChar w:fldCharType="separate"/>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预算收支总表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预算收入总表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预算支出总表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预算财政拨款收支总表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预算一般公共预算财政拨款支出表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预算一般公共预算财政拨款基本支出表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预算政府基金预算财政拨款支出表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预算国有资本经营预算财政拨款支出表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预算财政拨款“三公”经费支出表</w:t>
      </w:r>
    </w:p>
    <w:p>
      <w:pPr>
        <w:pStyle w:val="4"/>
        <w:tabs>
          <w:tab w:val="right" w:leader="dot" w:pos="9629"/>
        </w:tabs>
        <w:rPr>
          <w:rFonts w:hint="eastAsia" w:ascii="方正仿宋_GBK" w:eastAsia="方正仿宋_GBK"/>
          <w:sz w:val="32"/>
          <w:szCs w:val="32"/>
        </w:rPr>
      </w:pPr>
    </w:p>
    <w:p>
      <w:pPr>
        <w:pStyle w:val="4"/>
        <w:tabs>
          <w:tab w:val="right" w:leader="dot" w:pos="9629"/>
        </w:tabs>
        <w:rPr>
          <w:rFonts w:hint="eastAsia" w:ascii="方正仿宋_GBK" w:eastAsia="方正仿宋_GBK"/>
          <w:sz w:val="32"/>
          <w:szCs w:val="32"/>
        </w:rPr>
      </w:pPr>
    </w:p>
    <w:p>
      <w:pPr>
        <w:pStyle w:val="4"/>
        <w:tabs>
          <w:tab w:val="right" w:leader="dot" w:pos="9629"/>
        </w:tabs>
        <w:ind w:left="0" w:leftChars="0"/>
        <w:rPr>
          <w:rFonts w:hint="eastAsia" w:ascii="方正仿宋_GBK" w:eastAsia="方正仿宋_GBK"/>
          <w:sz w:val="32"/>
          <w:szCs w:val="32"/>
        </w:rPr>
      </w:pPr>
    </w:p>
    <w:p>
      <w:pPr>
        <w:jc w:val="both"/>
        <w:rPr>
          <w:rFonts w:ascii="方正小标宋_GBK" w:eastAsia="方正小标宋_GBK"/>
          <w:sz w:val="36"/>
        </w:rPr>
        <w:sectPr>
          <w:pgSz w:w="11900" w:h="16840"/>
          <w:pgMar w:top="1020" w:right="1134" w:bottom="1020" w:left="1361" w:header="720" w:footer="720" w:gutter="0"/>
          <w:cols w:space="720" w:num="1"/>
        </w:sectPr>
      </w:pPr>
      <w:r>
        <w:rPr>
          <w:rFonts w:ascii="方正仿宋_GBK" w:hAnsi="Times New Roman" w:eastAsia="方正仿宋_GBK" w:cs="方正仿宋_GBK"/>
          <w:sz w:val="28"/>
          <w:szCs w:val="28"/>
        </w:rPr>
        <w:fldChar w:fldCharType="end"/>
      </w: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二、秦皇岛市第一中学收支预算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360003秦皇岛市第一中学</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t>7191.44</w:t>
            </w:r>
          </w:p>
        </w:tc>
        <w:tc>
          <w:tcPr>
            <w:tcW w:w="4535" w:type="dxa"/>
            <w:vAlign w:val="center"/>
          </w:tcPr>
          <w:p>
            <w:pPr>
              <w:pStyle w:val="13"/>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r>
              <w:t>766.00</w:t>
            </w: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r>
              <w:t>7957.44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5"/>
            </w:pPr>
            <w:r>
              <w:t>本年收入合计</w:t>
            </w:r>
          </w:p>
        </w:tc>
        <w:tc>
          <w:tcPr>
            <w:tcW w:w="2126" w:type="dxa"/>
            <w:vAlign w:val="center"/>
          </w:tcPr>
          <w:p>
            <w:pPr>
              <w:pStyle w:val="16"/>
            </w:pPr>
            <w:r>
              <w:t>7957.44</w:t>
            </w:r>
          </w:p>
        </w:tc>
        <w:tc>
          <w:tcPr>
            <w:tcW w:w="4535" w:type="dxa"/>
            <w:vAlign w:val="center"/>
          </w:tcPr>
          <w:p>
            <w:pPr>
              <w:pStyle w:val="15"/>
            </w:pPr>
            <w:r>
              <w:t>本年支出合计</w:t>
            </w:r>
          </w:p>
        </w:tc>
        <w:tc>
          <w:tcPr>
            <w:tcW w:w="2126" w:type="dxa"/>
            <w:vAlign w:val="center"/>
          </w:tcPr>
          <w:p>
            <w:pPr>
              <w:pStyle w:val="16"/>
            </w:pPr>
            <w:r>
              <w:t>7957.44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5"/>
            </w:pPr>
            <w:r>
              <w:t>收入总计</w:t>
            </w:r>
          </w:p>
        </w:tc>
        <w:tc>
          <w:tcPr>
            <w:tcW w:w="2126" w:type="dxa"/>
            <w:vAlign w:val="center"/>
          </w:tcPr>
          <w:p>
            <w:pPr>
              <w:pStyle w:val="16"/>
            </w:pPr>
            <w:r>
              <w:t>7957.44</w:t>
            </w:r>
          </w:p>
        </w:tc>
        <w:tc>
          <w:tcPr>
            <w:tcW w:w="4535" w:type="dxa"/>
            <w:vAlign w:val="center"/>
          </w:tcPr>
          <w:p>
            <w:pPr>
              <w:pStyle w:val="15"/>
            </w:pPr>
            <w:r>
              <w:t>支出总计</w:t>
            </w:r>
          </w:p>
        </w:tc>
        <w:tc>
          <w:tcPr>
            <w:tcW w:w="2126" w:type="dxa"/>
            <w:vAlign w:val="center"/>
          </w:tcPr>
          <w:p>
            <w:pPr>
              <w:pStyle w:val="16"/>
            </w:pPr>
            <w:r>
              <w:t>7957.44</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360003秦皇岛市第一中学</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7957.44</w:t>
            </w:r>
          </w:p>
        </w:tc>
        <w:tc>
          <w:tcPr>
            <w:tcW w:w="1134" w:type="dxa"/>
            <w:vAlign w:val="center"/>
          </w:tcPr>
          <w:p>
            <w:pPr>
              <w:pStyle w:val="16"/>
            </w:pPr>
            <w:r>
              <w:t>7957.44</w:t>
            </w:r>
          </w:p>
        </w:tc>
        <w:tc>
          <w:tcPr>
            <w:tcW w:w="1134" w:type="dxa"/>
            <w:vAlign w:val="center"/>
          </w:tcPr>
          <w:p>
            <w:pPr>
              <w:pStyle w:val="16"/>
            </w:pPr>
            <w:r>
              <w:t>7191.44</w:t>
            </w:r>
          </w:p>
        </w:tc>
        <w:tc>
          <w:tcPr>
            <w:tcW w:w="1134" w:type="dxa"/>
            <w:vAlign w:val="center"/>
          </w:tcPr>
          <w:p>
            <w:pPr>
              <w:pStyle w:val="16"/>
            </w:pPr>
            <w:r>
              <w:t>766.00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4"/>
            </w:pPr>
            <w:r>
              <w:t>7957.44</w:t>
            </w:r>
          </w:p>
        </w:tc>
        <w:tc>
          <w:tcPr>
            <w:tcW w:w="1134" w:type="dxa"/>
            <w:vAlign w:val="center"/>
          </w:tcPr>
          <w:p>
            <w:pPr>
              <w:pStyle w:val="14"/>
            </w:pPr>
            <w:r>
              <w:t>7957.44</w:t>
            </w:r>
          </w:p>
        </w:tc>
        <w:tc>
          <w:tcPr>
            <w:tcW w:w="1134" w:type="dxa"/>
            <w:vAlign w:val="center"/>
          </w:tcPr>
          <w:p>
            <w:pPr>
              <w:pStyle w:val="14"/>
            </w:pPr>
            <w:r>
              <w:t>7191.44</w:t>
            </w:r>
          </w:p>
        </w:tc>
        <w:tc>
          <w:tcPr>
            <w:tcW w:w="1134" w:type="dxa"/>
            <w:vAlign w:val="center"/>
          </w:tcPr>
          <w:p>
            <w:pPr>
              <w:pStyle w:val="14"/>
            </w:pPr>
            <w:r>
              <w:t>766.00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4"/>
            </w:pPr>
            <w:r>
              <w:t>7177.44</w:t>
            </w:r>
          </w:p>
        </w:tc>
        <w:tc>
          <w:tcPr>
            <w:tcW w:w="1134" w:type="dxa"/>
            <w:vAlign w:val="center"/>
          </w:tcPr>
          <w:p>
            <w:pPr>
              <w:pStyle w:val="14"/>
            </w:pPr>
            <w:r>
              <w:t>7177.44</w:t>
            </w:r>
          </w:p>
        </w:tc>
        <w:tc>
          <w:tcPr>
            <w:tcW w:w="1134" w:type="dxa"/>
            <w:vAlign w:val="center"/>
          </w:tcPr>
          <w:p>
            <w:pPr>
              <w:pStyle w:val="14"/>
            </w:pPr>
            <w:r>
              <w:t>6411.44</w:t>
            </w:r>
          </w:p>
        </w:tc>
        <w:tc>
          <w:tcPr>
            <w:tcW w:w="1134" w:type="dxa"/>
            <w:vAlign w:val="center"/>
          </w:tcPr>
          <w:p>
            <w:pPr>
              <w:pStyle w:val="14"/>
            </w:pPr>
            <w:r>
              <w:t>766.00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3"/>
            </w:pPr>
            <w:r>
              <w:t>2050204</w:t>
            </w:r>
          </w:p>
        </w:tc>
        <w:tc>
          <w:tcPr>
            <w:tcW w:w="1559" w:type="dxa"/>
            <w:vAlign w:val="center"/>
          </w:tcPr>
          <w:p>
            <w:pPr>
              <w:pStyle w:val="13"/>
            </w:pPr>
            <w:r>
              <w:t>高中教育</w:t>
            </w:r>
          </w:p>
        </w:tc>
        <w:tc>
          <w:tcPr>
            <w:tcW w:w="1134" w:type="dxa"/>
            <w:vAlign w:val="center"/>
          </w:tcPr>
          <w:p>
            <w:pPr>
              <w:pStyle w:val="14"/>
            </w:pPr>
            <w:r>
              <w:t>7177.44</w:t>
            </w:r>
          </w:p>
        </w:tc>
        <w:tc>
          <w:tcPr>
            <w:tcW w:w="1134" w:type="dxa"/>
            <w:vAlign w:val="center"/>
          </w:tcPr>
          <w:p>
            <w:pPr>
              <w:pStyle w:val="14"/>
            </w:pPr>
            <w:r>
              <w:t>7177.44</w:t>
            </w:r>
          </w:p>
        </w:tc>
        <w:tc>
          <w:tcPr>
            <w:tcW w:w="1134" w:type="dxa"/>
            <w:vAlign w:val="center"/>
          </w:tcPr>
          <w:p>
            <w:pPr>
              <w:pStyle w:val="14"/>
            </w:pPr>
            <w:r>
              <w:t>6411.44</w:t>
            </w:r>
          </w:p>
        </w:tc>
        <w:tc>
          <w:tcPr>
            <w:tcW w:w="1134" w:type="dxa"/>
            <w:vAlign w:val="center"/>
          </w:tcPr>
          <w:p>
            <w:pPr>
              <w:pStyle w:val="14"/>
            </w:pPr>
            <w:r>
              <w:t>766.00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3"/>
            </w:pPr>
            <w:r>
              <w:t>20509</w:t>
            </w:r>
          </w:p>
        </w:tc>
        <w:tc>
          <w:tcPr>
            <w:tcW w:w="1559" w:type="dxa"/>
            <w:vAlign w:val="center"/>
          </w:tcPr>
          <w:p>
            <w:pPr>
              <w:pStyle w:val="13"/>
            </w:pPr>
            <w:r>
              <w:t>教育费附加安排的支出</w:t>
            </w:r>
          </w:p>
        </w:tc>
        <w:tc>
          <w:tcPr>
            <w:tcW w:w="1134" w:type="dxa"/>
            <w:vAlign w:val="center"/>
          </w:tcPr>
          <w:p>
            <w:pPr>
              <w:pStyle w:val="14"/>
            </w:pPr>
            <w:r>
              <w:t>780.00</w:t>
            </w:r>
          </w:p>
        </w:tc>
        <w:tc>
          <w:tcPr>
            <w:tcW w:w="1134" w:type="dxa"/>
            <w:vAlign w:val="center"/>
          </w:tcPr>
          <w:p>
            <w:pPr>
              <w:pStyle w:val="14"/>
            </w:pPr>
            <w:r>
              <w:t>780.00</w:t>
            </w:r>
          </w:p>
        </w:tc>
        <w:tc>
          <w:tcPr>
            <w:tcW w:w="1134" w:type="dxa"/>
            <w:vAlign w:val="center"/>
          </w:tcPr>
          <w:p>
            <w:pPr>
              <w:pStyle w:val="14"/>
            </w:pPr>
            <w:r>
              <w:t>780.00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3"/>
            </w:pPr>
            <w:r>
              <w:t>2050999</w:t>
            </w:r>
          </w:p>
        </w:tc>
        <w:tc>
          <w:tcPr>
            <w:tcW w:w="1559" w:type="dxa"/>
            <w:vAlign w:val="center"/>
          </w:tcPr>
          <w:p>
            <w:pPr>
              <w:pStyle w:val="13"/>
            </w:pPr>
            <w:r>
              <w:t>其他教育费附加安排的支出</w:t>
            </w:r>
          </w:p>
        </w:tc>
        <w:tc>
          <w:tcPr>
            <w:tcW w:w="1134" w:type="dxa"/>
            <w:vAlign w:val="center"/>
          </w:tcPr>
          <w:p>
            <w:pPr>
              <w:pStyle w:val="14"/>
            </w:pPr>
            <w:r>
              <w:t>780.00</w:t>
            </w:r>
          </w:p>
        </w:tc>
        <w:tc>
          <w:tcPr>
            <w:tcW w:w="1134" w:type="dxa"/>
            <w:vAlign w:val="center"/>
          </w:tcPr>
          <w:p>
            <w:pPr>
              <w:pStyle w:val="14"/>
            </w:pPr>
            <w:r>
              <w:t>780.00</w:t>
            </w:r>
          </w:p>
        </w:tc>
        <w:tc>
          <w:tcPr>
            <w:tcW w:w="1134" w:type="dxa"/>
            <w:vAlign w:val="center"/>
          </w:tcPr>
          <w:p>
            <w:pPr>
              <w:pStyle w:val="14"/>
            </w:pPr>
            <w:r>
              <w:t>780.00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7957.44</w:t>
            </w:r>
          </w:p>
        </w:tc>
        <w:tc>
          <w:tcPr>
            <w:tcW w:w="1361" w:type="dxa"/>
            <w:vAlign w:val="center"/>
          </w:tcPr>
          <w:p>
            <w:pPr>
              <w:pStyle w:val="16"/>
            </w:pPr>
            <w:r>
              <w:t>7177.44</w:t>
            </w:r>
          </w:p>
        </w:tc>
        <w:tc>
          <w:tcPr>
            <w:tcW w:w="1361" w:type="dxa"/>
            <w:vAlign w:val="center"/>
          </w:tcPr>
          <w:p>
            <w:pPr>
              <w:pStyle w:val="16"/>
            </w:pPr>
            <w:r>
              <w:t>780.00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4"/>
            </w:pPr>
            <w:r>
              <w:t>7957.44</w:t>
            </w:r>
          </w:p>
        </w:tc>
        <w:tc>
          <w:tcPr>
            <w:tcW w:w="1361" w:type="dxa"/>
            <w:vAlign w:val="center"/>
          </w:tcPr>
          <w:p>
            <w:pPr>
              <w:pStyle w:val="14"/>
            </w:pPr>
            <w:r>
              <w:t>7177.44</w:t>
            </w:r>
          </w:p>
        </w:tc>
        <w:tc>
          <w:tcPr>
            <w:tcW w:w="1361" w:type="dxa"/>
            <w:vAlign w:val="center"/>
          </w:tcPr>
          <w:p>
            <w:pPr>
              <w:pStyle w:val="14"/>
            </w:pPr>
            <w:r>
              <w:t>780.00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4"/>
            </w:pPr>
            <w:r>
              <w:t>7177.44</w:t>
            </w:r>
          </w:p>
        </w:tc>
        <w:tc>
          <w:tcPr>
            <w:tcW w:w="1361" w:type="dxa"/>
            <w:vAlign w:val="center"/>
          </w:tcPr>
          <w:p>
            <w:pPr>
              <w:pStyle w:val="14"/>
            </w:pPr>
            <w:r>
              <w:t>7177.44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3"/>
            </w:pPr>
            <w:r>
              <w:t>2050204</w:t>
            </w:r>
          </w:p>
        </w:tc>
        <w:tc>
          <w:tcPr>
            <w:tcW w:w="4535" w:type="dxa"/>
            <w:vAlign w:val="center"/>
          </w:tcPr>
          <w:p>
            <w:pPr>
              <w:pStyle w:val="13"/>
            </w:pPr>
            <w:r>
              <w:t>高中教育</w:t>
            </w:r>
          </w:p>
        </w:tc>
        <w:tc>
          <w:tcPr>
            <w:tcW w:w="1361" w:type="dxa"/>
            <w:vAlign w:val="center"/>
          </w:tcPr>
          <w:p>
            <w:pPr>
              <w:pStyle w:val="14"/>
            </w:pPr>
            <w:r>
              <w:t>7177.44</w:t>
            </w:r>
          </w:p>
        </w:tc>
        <w:tc>
          <w:tcPr>
            <w:tcW w:w="1361" w:type="dxa"/>
            <w:vAlign w:val="center"/>
          </w:tcPr>
          <w:p>
            <w:pPr>
              <w:pStyle w:val="14"/>
            </w:pPr>
            <w:r>
              <w:t>7177.44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3"/>
            </w:pPr>
            <w:r>
              <w:t>20509</w:t>
            </w:r>
          </w:p>
        </w:tc>
        <w:tc>
          <w:tcPr>
            <w:tcW w:w="4535" w:type="dxa"/>
            <w:vAlign w:val="center"/>
          </w:tcPr>
          <w:p>
            <w:pPr>
              <w:pStyle w:val="13"/>
            </w:pPr>
            <w:r>
              <w:t>教育费附加安排的支出</w:t>
            </w:r>
          </w:p>
        </w:tc>
        <w:tc>
          <w:tcPr>
            <w:tcW w:w="1361" w:type="dxa"/>
            <w:vAlign w:val="center"/>
          </w:tcPr>
          <w:p>
            <w:pPr>
              <w:pStyle w:val="14"/>
            </w:pPr>
            <w:r>
              <w:t>780.00</w:t>
            </w:r>
          </w:p>
        </w:tc>
        <w:tc>
          <w:tcPr>
            <w:tcW w:w="1361" w:type="dxa"/>
            <w:vAlign w:val="center"/>
          </w:tcPr>
          <w:p>
            <w:pPr>
              <w:pStyle w:val="14"/>
            </w:pPr>
          </w:p>
        </w:tc>
        <w:tc>
          <w:tcPr>
            <w:tcW w:w="1361" w:type="dxa"/>
            <w:vAlign w:val="center"/>
          </w:tcPr>
          <w:p>
            <w:pPr>
              <w:pStyle w:val="14"/>
            </w:pPr>
            <w:r>
              <w:t>780.00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3"/>
            </w:pPr>
            <w:r>
              <w:t>2050999</w:t>
            </w:r>
          </w:p>
        </w:tc>
        <w:tc>
          <w:tcPr>
            <w:tcW w:w="4535" w:type="dxa"/>
            <w:vAlign w:val="center"/>
          </w:tcPr>
          <w:p>
            <w:pPr>
              <w:pStyle w:val="13"/>
            </w:pPr>
            <w:r>
              <w:t>其他教育费附加安排的支出</w:t>
            </w:r>
          </w:p>
        </w:tc>
        <w:tc>
          <w:tcPr>
            <w:tcW w:w="1361" w:type="dxa"/>
            <w:vAlign w:val="center"/>
          </w:tcPr>
          <w:p>
            <w:pPr>
              <w:pStyle w:val="14"/>
            </w:pPr>
            <w:r>
              <w:t>780.00</w:t>
            </w:r>
          </w:p>
        </w:tc>
        <w:tc>
          <w:tcPr>
            <w:tcW w:w="1361" w:type="dxa"/>
            <w:vAlign w:val="center"/>
          </w:tcPr>
          <w:p>
            <w:pPr>
              <w:pStyle w:val="14"/>
            </w:pPr>
          </w:p>
        </w:tc>
        <w:tc>
          <w:tcPr>
            <w:tcW w:w="1361" w:type="dxa"/>
            <w:vAlign w:val="center"/>
          </w:tcPr>
          <w:p>
            <w:pPr>
              <w:pStyle w:val="14"/>
            </w:pPr>
            <w:r>
              <w:t>780.00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3"/>
            </w:pPr>
            <w:r>
              <w:t>一、一般公共预算拨款</w:t>
            </w:r>
          </w:p>
        </w:tc>
        <w:tc>
          <w:tcPr>
            <w:tcW w:w="1474" w:type="dxa"/>
            <w:vAlign w:val="center"/>
          </w:tcPr>
          <w:p>
            <w:pPr>
              <w:pStyle w:val="14"/>
            </w:pPr>
            <w:r>
              <w:t>7191.44</w:t>
            </w:r>
          </w:p>
        </w:tc>
        <w:tc>
          <w:tcPr>
            <w:tcW w:w="3402" w:type="dxa"/>
            <w:vAlign w:val="center"/>
          </w:tcPr>
          <w:p>
            <w:pPr>
              <w:pStyle w:val="13"/>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五、教育支出</w:t>
            </w:r>
          </w:p>
        </w:tc>
        <w:tc>
          <w:tcPr>
            <w:tcW w:w="1474" w:type="dxa"/>
            <w:vAlign w:val="center"/>
          </w:tcPr>
          <w:p>
            <w:pPr>
              <w:pStyle w:val="14"/>
            </w:pPr>
            <w:r>
              <w:t>7191.44</w:t>
            </w:r>
          </w:p>
        </w:tc>
        <w:tc>
          <w:tcPr>
            <w:tcW w:w="1474" w:type="dxa"/>
            <w:vAlign w:val="center"/>
          </w:tcPr>
          <w:p>
            <w:pPr>
              <w:pStyle w:val="14"/>
            </w:pPr>
            <w:r>
              <w:t>7191.44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5"/>
            </w:pPr>
            <w:r>
              <w:t>本年收入合计</w:t>
            </w:r>
          </w:p>
        </w:tc>
        <w:tc>
          <w:tcPr>
            <w:tcW w:w="1474" w:type="dxa"/>
            <w:vAlign w:val="center"/>
          </w:tcPr>
          <w:p>
            <w:pPr>
              <w:pStyle w:val="16"/>
            </w:pPr>
            <w:r>
              <w:t>7191.44</w:t>
            </w:r>
          </w:p>
        </w:tc>
        <w:tc>
          <w:tcPr>
            <w:tcW w:w="3402" w:type="dxa"/>
            <w:vAlign w:val="center"/>
          </w:tcPr>
          <w:p>
            <w:pPr>
              <w:pStyle w:val="15"/>
            </w:pPr>
            <w:r>
              <w:t>本年支出合计</w:t>
            </w:r>
          </w:p>
        </w:tc>
        <w:tc>
          <w:tcPr>
            <w:tcW w:w="1474" w:type="dxa"/>
            <w:vAlign w:val="center"/>
          </w:tcPr>
          <w:p>
            <w:pPr>
              <w:pStyle w:val="16"/>
            </w:pPr>
            <w:r>
              <w:t>7191.44</w:t>
            </w:r>
          </w:p>
        </w:tc>
        <w:tc>
          <w:tcPr>
            <w:tcW w:w="1474" w:type="dxa"/>
            <w:vAlign w:val="center"/>
          </w:tcPr>
          <w:p>
            <w:pPr>
              <w:pStyle w:val="16"/>
            </w:pPr>
            <w:r>
              <w:t>7191.44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年初财政拨款结转和结余</w:t>
            </w:r>
          </w:p>
        </w:tc>
        <w:tc>
          <w:tcPr>
            <w:tcW w:w="1474" w:type="dxa"/>
            <w:vAlign w:val="center"/>
          </w:tcPr>
          <w:p>
            <w:pPr>
              <w:pStyle w:val="14"/>
            </w:pPr>
          </w:p>
        </w:tc>
        <w:tc>
          <w:tcPr>
            <w:tcW w:w="3402" w:type="dxa"/>
            <w:vAlign w:val="center"/>
          </w:tcPr>
          <w:p>
            <w:pPr>
              <w:pStyle w:val="13"/>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3"/>
            </w:pPr>
            <w:r>
              <w:t>一、一般公共预算拨款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5"/>
            </w:pPr>
            <w:r>
              <w:t>收入总计</w:t>
            </w:r>
          </w:p>
        </w:tc>
        <w:tc>
          <w:tcPr>
            <w:tcW w:w="1474" w:type="dxa"/>
            <w:vAlign w:val="center"/>
          </w:tcPr>
          <w:p>
            <w:pPr>
              <w:pStyle w:val="16"/>
            </w:pPr>
            <w:r>
              <w:t>7191.44</w:t>
            </w:r>
          </w:p>
        </w:tc>
        <w:tc>
          <w:tcPr>
            <w:tcW w:w="3402" w:type="dxa"/>
            <w:vAlign w:val="center"/>
          </w:tcPr>
          <w:p>
            <w:pPr>
              <w:pStyle w:val="15"/>
            </w:pPr>
            <w:r>
              <w:t>支出总计</w:t>
            </w:r>
          </w:p>
        </w:tc>
        <w:tc>
          <w:tcPr>
            <w:tcW w:w="1474" w:type="dxa"/>
            <w:vAlign w:val="center"/>
          </w:tcPr>
          <w:p>
            <w:pPr>
              <w:pStyle w:val="16"/>
            </w:pPr>
            <w:r>
              <w:t>7191.44</w:t>
            </w:r>
          </w:p>
        </w:tc>
        <w:tc>
          <w:tcPr>
            <w:tcW w:w="1474" w:type="dxa"/>
            <w:vAlign w:val="center"/>
          </w:tcPr>
          <w:p>
            <w:pPr>
              <w:pStyle w:val="16"/>
            </w:pPr>
            <w:r>
              <w:t>7191.44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7191.44</w:t>
            </w:r>
          </w:p>
        </w:tc>
        <w:tc>
          <w:tcPr>
            <w:tcW w:w="2551" w:type="dxa"/>
            <w:vAlign w:val="center"/>
          </w:tcPr>
          <w:p>
            <w:pPr>
              <w:pStyle w:val="16"/>
            </w:pPr>
            <w:r>
              <w:t>6411.44</w:t>
            </w:r>
          </w:p>
        </w:tc>
        <w:tc>
          <w:tcPr>
            <w:tcW w:w="2551" w:type="dxa"/>
            <w:vAlign w:val="center"/>
          </w:tcPr>
          <w:p>
            <w:pPr>
              <w:pStyle w:val="16"/>
            </w:pPr>
            <w:r>
              <w:t>780.00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4"/>
            </w:pPr>
            <w:r>
              <w:t>7191.44</w:t>
            </w:r>
          </w:p>
        </w:tc>
        <w:tc>
          <w:tcPr>
            <w:tcW w:w="2551" w:type="dxa"/>
            <w:vAlign w:val="center"/>
          </w:tcPr>
          <w:p>
            <w:pPr>
              <w:pStyle w:val="14"/>
            </w:pPr>
            <w:r>
              <w:t>6411.44</w:t>
            </w:r>
          </w:p>
        </w:tc>
        <w:tc>
          <w:tcPr>
            <w:tcW w:w="2551" w:type="dxa"/>
            <w:vAlign w:val="center"/>
          </w:tcPr>
          <w:p>
            <w:pPr>
              <w:pStyle w:val="14"/>
            </w:pPr>
            <w:r>
              <w:t>780.00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4"/>
            </w:pPr>
            <w:r>
              <w:t>6411.44</w:t>
            </w:r>
          </w:p>
        </w:tc>
        <w:tc>
          <w:tcPr>
            <w:tcW w:w="2551" w:type="dxa"/>
            <w:vAlign w:val="center"/>
          </w:tcPr>
          <w:p>
            <w:pPr>
              <w:pStyle w:val="14"/>
            </w:pPr>
            <w:r>
              <w:t>6411.44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2050204</w:t>
            </w:r>
          </w:p>
        </w:tc>
        <w:tc>
          <w:tcPr>
            <w:tcW w:w="4535" w:type="dxa"/>
            <w:vAlign w:val="center"/>
          </w:tcPr>
          <w:p>
            <w:pPr>
              <w:pStyle w:val="13"/>
            </w:pPr>
            <w:r>
              <w:t>高中教育</w:t>
            </w:r>
          </w:p>
        </w:tc>
        <w:tc>
          <w:tcPr>
            <w:tcW w:w="2551" w:type="dxa"/>
            <w:vAlign w:val="center"/>
          </w:tcPr>
          <w:p>
            <w:pPr>
              <w:pStyle w:val="14"/>
            </w:pPr>
            <w:r>
              <w:t>6411.44</w:t>
            </w:r>
          </w:p>
        </w:tc>
        <w:tc>
          <w:tcPr>
            <w:tcW w:w="2551" w:type="dxa"/>
            <w:vAlign w:val="center"/>
          </w:tcPr>
          <w:p>
            <w:pPr>
              <w:pStyle w:val="14"/>
            </w:pPr>
            <w:r>
              <w:t>6411.44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20509</w:t>
            </w:r>
          </w:p>
        </w:tc>
        <w:tc>
          <w:tcPr>
            <w:tcW w:w="4535" w:type="dxa"/>
            <w:vAlign w:val="center"/>
          </w:tcPr>
          <w:p>
            <w:pPr>
              <w:pStyle w:val="13"/>
            </w:pPr>
            <w:r>
              <w:t>教育费附加安排的支出</w:t>
            </w:r>
          </w:p>
        </w:tc>
        <w:tc>
          <w:tcPr>
            <w:tcW w:w="2551" w:type="dxa"/>
            <w:vAlign w:val="center"/>
          </w:tcPr>
          <w:p>
            <w:pPr>
              <w:pStyle w:val="14"/>
            </w:pPr>
            <w:r>
              <w:t>780.00</w:t>
            </w:r>
          </w:p>
        </w:tc>
        <w:tc>
          <w:tcPr>
            <w:tcW w:w="2551" w:type="dxa"/>
            <w:vAlign w:val="center"/>
          </w:tcPr>
          <w:p>
            <w:pPr>
              <w:pStyle w:val="14"/>
            </w:pPr>
          </w:p>
        </w:tc>
        <w:tc>
          <w:tcPr>
            <w:tcW w:w="2551" w:type="dxa"/>
            <w:vAlign w:val="center"/>
          </w:tcPr>
          <w:p>
            <w:pPr>
              <w:pStyle w:val="14"/>
            </w:pPr>
            <w:r>
              <w:t>780.00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2050999</w:t>
            </w:r>
          </w:p>
        </w:tc>
        <w:tc>
          <w:tcPr>
            <w:tcW w:w="4535" w:type="dxa"/>
            <w:vAlign w:val="center"/>
          </w:tcPr>
          <w:p>
            <w:pPr>
              <w:pStyle w:val="13"/>
            </w:pPr>
            <w:r>
              <w:t>其他教育费附加安排的支出</w:t>
            </w:r>
          </w:p>
        </w:tc>
        <w:tc>
          <w:tcPr>
            <w:tcW w:w="2551" w:type="dxa"/>
            <w:vAlign w:val="center"/>
          </w:tcPr>
          <w:p>
            <w:pPr>
              <w:pStyle w:val="14"/>
            </w:pPr>
            <w:r>
              <w:t>780.00</w:t>
            </w:r>
          </w:p>
        </w:tc>
        <w:tc>
          <w:tcPr>
            <w:tcW w:w="2551" w:type="dxa"/>
            <w:vAlign w:val="center"/>
          </w:tcPr>
          <w:p>
            <w:pPr>
              <w:pStyle w:val="14"/>
            </w:pPr>
          </w:p>
        </w:tc>
        <w:tc>
          <w:tcPr>
            <w:tcW w:w="2551" w:type="dxa"/>
            <w:vAlign w:val="center"/>
          </w:tcPr>
          <w:p>
            <w:pPr>
              <w:pStyle w:val="14"/>
            </w:pPr>
            <w:r>
              <w:t>780.00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6411.44</w:t>
            </w:r>
          </w:p>
        </w:tc>
        <w:tc>
          <w:tcPr>
            <w:tcW w:w="2551" w:type="dxa"/>
            <w:vAlign w:val="center"/>
          </w:tcPr>
          <w:p>
            <w:pPr>
              <w:pStyle w:val="16"/>
            </w:pPr>
            <w:r>
              <w:t>6295.61</w:t>
            </w:r>
          </w:p>
        </w:tc>
        <w:tc>
          <w:tcPr>
            <w:tcW w:w="2551" w:type="dxa"/>
            <w:vAlign w:val="center"/>
          </w:tcPr>
          <w:p>
            <w:pPr>
              <w:pStyle w:val="16"/>
            </w:pPr>
            <w:r>
              <w:t>115.83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4"/>
            </w:pPr>
            <w:r>
              <w:t>5646.31</w:t>
            </w:r>
          </w:p>
        </w:tc>
        <w:tc>
          <w:tcPr>
            <w:tcW w:w="2551" w:type="dxa"/>
            <w:vAlign w:val="center"/>
          </w:tcPr>
          <w:p>
            <w:pPr>
              <w:pStyle w:val="14"/>
            </w:pPr>
            <w:r>
              <w:t>5646.31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4"/>
            </w:pPr>
            <w:r>
              <w:t>1561.55</w:t>
            </w:r>
          </w:p>
        </w:tc>
        <w:tc>
          <w:tcPr>
            <w:tcW w:w="2551" w:type="dxa"/>
            <w:vAlign w:val="center"/>
          </w:tcPr>
          <w:p>
            <w:pPr>
              <w:pStyle w:val="14"/>
            </w:pPr>
            <w:r>
              <w:t>1561.55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4"/>
            </w:pPr>
            <w:r>
              <w:t>304.38</w:t>
            </w:r>
          </w:p>
        </w:tc>
        <w:tc>
          <w:tcPr>
            <w:tcW w:w="2551" w:type="dxa"/>
            <w:vAlign w:val="center"/>
          </w:tcPr>
          <w:p>
            <w:pPr>
              <w:pStyle w:val="14"/>
            </w:pPr>
            <w:r>
              <w:t>304.38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4"/>
            </w:pPr>
            <w:r>
              <w:t>332.86</w:t>
            </w:r>
          </w:p>
        </w:tc>
        <w:tc>
          <w:tcPr>
            <w:tcW w:w="2551" w:type="dxa"/>
            <w:vAlign w:val="center"/>
          </w:tcPr>
          <w:p>
            <w:pPr>
              <w:pStyle w:val="14"/>
            </w:pPr>
            <w:r>
              <w:t>332.86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4"/>
            </w:pPr>
            <w:r>
              <w:t>1890.28</w:t>
            </w:r>
          </w:p>
        </w:tc>
        <w:tc>
          <w:tcPr>
            <w:tcW w:w="2551" w:type="dxa"/>
            <w:vAlign w:val="center"/>
          </w:tcPr>
          <w:p>
            <w:pPr>
              <w:pStyle w:val="14"/>
            </w:pPr>
            <w:r>
              <w:t>1890.28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4"/>
            </w:pPr>
            <w:r>
              <w:t>547.00</w:t>
            </w:r>
          </w:p>
        </w:tc>
        <w:tc>
          <w:tcPr>
            <w:tcW w:w="2551" w:type="dxa"/>
            <w:vAlign w:val="center"/>
          </w:tcPr>
          <w:p>
            <w:pPr>
              <w:pStyle w:val="14"/>
            </w:pPr>
            <w:r>
              <w:t>547.00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4"/>
            </w:pPr>
            <w:r>
              <w:t>182.47</w:t>
            </w:r>
          </w:p>
        </w:tc>
        <w:tc>
          <w:tcPr>
            <w:tcW w:w="2551" w:type="dxa"/>
            <w:vAlign w:val="center"/>
          </w:tcPr>
          <w:p>
            <w:pPr>
              <w:pStyle w:val="14"/>
            </w:pPr>
            <w:r>
              <w:t>182.47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4"/>
            </w:pPr>
            <w:r>
              <w:t>285.21</w:t>
            </w:r>
          </w:p>
        </w:tc>
        <w:tc>
          <w:tcPr>
            <w:tcW w:w="2551" w:type="dxa"/>
            <w:vAlign w:val="center"/>
          </w:tcPr>
          <w:p>
            <w:pPr>
              <w:pStyle w:val="14"/>
            </w:pPr>
            <w:r>
              <w:t>285.21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4"/>
            </w:pPr>
            <w:r>
              <w:t>32.31</w:t>
            </w:r>
          </w:p>
        </w:tc>
        <w:tc>
          <w:tcPr>
            <w:tcW w:w="2551" w:type="dxa"/>
            <w:vAlign w:val="center"/>
          </w:tcPr>
          <w:p>
            <w:pPr>
              <w:pStyle w:val="14"/>
            </w:pPr>
            <w:r>
              <w:t>32.31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4"/>
            </w:pPr>
            <w:r>
              <w:t>450.19</w:t>
            </w:r>
          </w:p>
        </w:tc>
        <w:tc>
          <w:tcPr>
            <w:tcW w:w="2551" w:type="dxa"/>
            <w:vAlign w:val="center"/>
          </w:tcPr>
          <w:p>
            <w:pPr>
              <w:pStyle w:val="14"/>
            </w:pPr>
            <w:r>
              <w:t>450.19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4"/>
            </w:pPr>
            <w:r>
              <w:t>60.06</w:t>
            </w:r>
          </w:p>
        </w:tc>
        <w:tc>
          <w:tcPr>
            <w:tcW w:w="2551" w:type="dxa"/>
            <w:vAlign w:val="center"/>
          </w:tcPr>
          <w:p>
            <w:pPr>
              <w:pStyle w:val="14"/>
            </w:pPr>
            <w:r>
              <w:t>60.06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4"/>
            </w:pPr>
            <w:r>
              <w:t>115.83</w:t>
            </w:r>
          </w:p>
        </w:tc>
        <w:tc>
          <w:tcPr>
            <w:tcW w:w="2551" w:type="dxa"/>
            <w:vAlign w:val="center"/>
          </w:tcPr>
          <w:p>
            <w:pPr>
              <w:pStyle w:val="14"/>
            </w:pPr>
          </w:p>
        </w:tc>
        <w:tc>
          <w:tcPr>
            <w:tcW w:w="2551" w:type="dxa"/>
            <w:vAlign w:val="center"/>
          </w:tcPr>
          <w:p>
            <w:pPr>
              <w:pStyle w:val="14"/>
            </w:pPr>
            <w:r>
              <w:t>115.83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4"/>
            </w:pPr>
            <w:r>
              <w:t>9.14</w:t>
            </w:r>
          </w:p>
        </w:tc>
        <w:tc>
          <w:tcPr>
            <w:tcW w:w="2551" w:type="dxa"/>
            <w:vAlign w:val="center"/>
          </w:tcPr>
          <w:p>
            <w:pPr>
              <w:pStyle w:val="14"/>
            </w:pPr>
          </w:p>
        </w:tc>
        <w:tc>
          <w:tcPr>
            <w:tcW w:w="2551" w:type="dxa"/>
            <w:vAlign w:val="center"/>
          </w:tcPr>
          <w:p>
            <w:pPr>
              <w:pStyle w:val="14"/>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4"/>
            </w:pPr>
            <w:r>
              <w:t>37.45</w:t>
            </w:r>
          </w:p>
        </w:tc>
        <w:tc>
          <w:tcPr>
            <w:tcW w:w="2551" w:type="dxa"/>
            <w:vAlign w:val="center"/>
          </w:tcPr>
          <w:p>
            <w:pPr>
              <w:pStyle w:val="14"/>
            </w:pPr>
          </w:p>
        </w:tc>
        <w:tc>
          <w:tcPr>
            <w:tcW w:w="2551" w:type="dxa"/>
            <w:vAlign w:val="center"/>
          </w:tcPr>
          <w:p>
            <w:pPr>
              <w:pStyle w:val="14"/>
            </w:pPr>
            <w:r>
              <w:t>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4"/>
            </w:pPr>
            <w:r>
              <w:t>38.08</w:t>
            </w:r>
          </w:p>
        </w:tc>
        <w:tc>
          <w:tcPr>
            <w:tcW w:w="2551" w:type="dxa"/>
            <w:vAlign w:val="center"/>
          </w:tcPr>
          <w:p>
            <w:pPr>
              <w:pStyle w:val="14"/>
            </w:pPr>
          </w:p>
        </w:tc>
        <w:tc>
          <w:tcPr>
            <w:tcW w:w="2551" w:type="dxa"/>
            <w:vAlign w:val="center"/>
          </w:tcPr>
          <w:p>
            <w:pPr>
              <w:pStyle w:val="14"/>
            </w:pPr>
            <w:r>
              <w:t>38.08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4"/>
            </w:pPr>
            <w:r>
              <w:t>31.16</w:t>
            </w:r>
          </w:p>
        </w:tc>
        <w:tc>
          <w:tcPr>
            <w:tcW w:w="2551" w:type="dxa"/>
            <w:vAlign w:val="center"/>
          </w:tcPr>
          <w:p>
            <w:pPr>
              <w:pStyle w:val="14"/>
            </w:pPr>
          </w:p>
        </w:tc>
        <w:tc>
          <w:tcPr>
            <w:tcW w:w="2551" w:type="dxa"/>
            <w:vAlign w:val="center"/>
          </w:tcPr>
          <w:p>
            <w:pPr>
              <w:pStyle w:val="14"/>
            </w:pPr>
            <w:r>
              <w:t>31.16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4"/>
            </w:pPr>
            <w:r>
              <w:t>649.30</w:t>
            </w:r>
          </w:p>
        </w:tc>
        <w:tc>
          <w:tcPr>
            <w:tcW w:w="2551" w:type="dxa"/>
            <w:vAlign w:val="center"/>
          </w:tcPr>
          <w:p>
            <w:pPr>
              <w:pStyle w:val="14"/>
            </w:pPr>
            <w:r>
              <w:t>649.30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4"/>
            </w:pPr>
            <w:r>
              <w:t>8.42</w:t>
            </w:r>
          </w:p>
        </w:tc>
        <w:tc>
          <w:tcPr>
            <w:tcW w:w="2551" w:type="dxa"/>
            <w:vAlign w:val="center"/>
          </w:tcPr>
          <w:p>
            <w:pPr>
              <w:pStyle w:val="14"/>
            </w:pPr>
            <w:r>
              <w:t>8.42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4"/>
            </w:pPr>
            <w:r>
              <w:t>634.98</w:t>
            </w:r>
          </w:p>
        </w:tc>
        <w:tc>
          <w:tcPr>
            <w:tcW w:w="2551" w:type="dxa"/>
            <w:vAlign w:val="center"/>
          </w:tcPr>
          <w:p>
            <w:pPr>
              <w:pStyle w:val="14"/>
            </w:pPr>
            <w:r>
              <w:t>634.98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4"/>
            </w:pPr>
            <w:r>
              <w:t>4.60</w:t>
            </w:r>
          </w:p>
        </w:tc>
        <w:tc>
          <w:tcPr>
            <w:tcW w:w="2551" w:type="dxa"/>
            <w:vAlign w:val="center"/>
          </w:tcPr>
          <w:p>
            <w:pPr>
              <w:pStyle w:val="14"/>
            </w:pPr>
            <w:r>
              <w:t>4.60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4"/>
            </w:pPr>
            <w:r>
              <w:t>1.30</w:t>
            </w:r>
          </w:p>
        </w:tc>
        <w:tc>
          <w:tcPr>
            <w:tcW w:w="2551" w:type="dxa"/>
            <w:vAlign w:val="center"/>
          </w:tcPr>
          <w:p>
            <w:pPr>
              <w:pStyle w:val="14"/>
            </w:pPr>
            <w:r>
              <w:t>1.30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p>
        </w:tc>
        <w:tc>
          <w:tcPr>
            <w:tcW w:w="3798" w:type="dxa"/>
            <w:vAlign w:val="center"/>
          </w:tcPr>
          <w:p>
            <w:pPr>
              <w:pStyle w:val="13"/>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秦皇岛市第一中学2022年单位预算信息公开情况说明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按照《预算法》、《地方预决算公开操作规程》和《关于进一步推进预算公开工作的实施意见》规定，现将秦皇岛市第一中学2022年单位预算公开如下：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400" w:lineRule="exact"/>
        <w:ind w:firstLine="750" w:firstLineChars="250"/>
        <w:rPr>
          <w:rFonts w:ascii="仿宋_GB2312" w:eastAsia="仿宋_GB2312"/>
          <w:sz w:val="30"/>
          <w:szCs w:val="30"/>
        </w:rPr>
      </w:pPr>
      <w:r>
        <w:rPr>
          <w:rFonts w:hint="eastAsia" w:ascii="仿宋_GB2312" w:eastAsia="仿宋_GB2312"/>
          <w:sz w:val="30"/>
          <w:szCs w:val="30"/>
        </w:rPr>
        <w:t>1.负责贯彻党的教育方针，普及高中教育，推进素质教育。</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400" w:lineRule="exact"/>
        <w:ind w:firstLine="750" w:firstLineChars="250"/>
        <w:rPr>
          <w:rFonts w:ascii="仿宋_GB2312" w:eastAsia="仿宋_GB2312"/>
          <w:sz w:val="30"/>
          <w:szCs w:val="30"/>
        </w:rPr>
      </w:pPr>
      <w:r>
        <w:rPr>
          <w:rFonts w:hint="eastAsia" w:ascii="仿宋_GB2312" w:eastAsia="仿宋_GB2312"/>
          <w:sz w:val="30"/>
          <w:szCs w:val="30"/>
        </w:rPr>
        <w:t>2.负责学校的精神文明建设及校园文化建设工作。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400" w:lineRule="exact"/>
        <w:ind w:firstLine="750" w:firstLineChars="250"/>
        <w:rPr>
          <w:rFonts w:ascii="仿宋_GB2312" w:eastAsia="仿宋_GB2312"/>
          <w:sz w:val="30"/>
          <w:szCs w:val="30"/>
        </w:rPr>
      </w:pPr>
      <w:r>
        <w:rPr>
          <w:rFonts w:hint="eastAsia" w:ascii="仿宋_GB2312" w:eastAsia="仿宋_GB2312"/>
          <w:sz w:val="30"/>
          <w:szCs w:val="30"/>
        </w:rPr>
        <w:t>3.</w:t>
      </w:r>
      <w:r>
        <w:rPr>
          <w:rFonts w:hint="eastAsia" w:ascii="仿宋_GB2312" w:eastAsia="仿宋_GB2312"/>
          <w:spacing w:val="4"/>
          <w:sz w:val="30"/>
          <w:szCs w:val="30"/>
        </w:rPr>
        <w:t>负责健全学校的综合治理及安全建设保障工作</w:t>
      </w:r>
      <w:r>
        <w:rPr>
          <w:rFonts w:hint="eastAsia" w:ascii="仿宋_GB2312" w:eastAsia="仿宋_GB2312"/>
          <w:sz w:val="30"/>
          <w:szCs w:val="30"/>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400" w:lineRule="exact"/>
        <w:ind w:firstLine="750" w:firstLineChars="250"/>
        <w:rPr>
          <w:rFonts w:ascii="仿宋_GB2312" w:eastAsia="仿宋_GB2312"/>
          <w:spacing w:val="4"/>
          <w:sz w:val="30"/>
          <w:szCs w:val="30"/>
        </w:rPr>
      </w:pPr>
      <w:r>
        <w:rPr>
          <w:rFonts w:hint="eastAsia" w:ascii="仿宋_GB2312" w:eastAsia="仿宋_GB2312"/>
          <w:sz w:val="30"/>
          <w:szCs w:val="30"/>
        </w:rPr>
        <w:t>4.负责学校工会、共青团、妇女工作及计划生育工作</w:t>
      </w:r>
      <w:r>
        <w:rPr>
          <w:rFonts w:hint="eastAsia" w:ascii="仿宋_GB2312" w:eastAsia="仿宋_GB2312"/>
          <w:spacing w:val="4"/>
          <w:sz w:val="30"/>
          <w:szCs w:val="30"/>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400" w:lineRule="exact"/>
        <w:ind w:firstLine="750" w:firstLineChars="250"/>
        <w:rPr>
          <w:rFonts w:ascii="仿宋_GB2312" w:eastAsia="仿宋_GB2312"/>
          <w:sz w:val="30"/>
          <w:szCs w:val="30"/>
        </w:rPr>
      </w:pPr>
      <w:r>
        <w:rPr>
          <w:rFonts w:hint="eastAsia" w:ascii="仿宋_GB2312" w:eastAsia="仿宋_GB2312"/>
          <w:sz w:val="30"/>
          <w:szCs w:val="30"/>
        </w:rPr>
        <w:t>5.负责学校的党风廉政建设。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400" w:lineRule="exact"/>
        <w:ind w:firstLine="750" w:firstLineChars="250"/>
        <w:rPr>
          <w:rFonts w:ascii="仿宋_GB2312" w:eastAsia="仿宋_GB2312"/>
          <w:sz w:val="30"/>
          <w:szCs w:val="30"/>
        </w:rPr>
      </w:pPr>
      <w:r>
        <w:rPr>
          <w:rFonts w:hint="eastAsia" w:ascii="仿宋_GB2312" w:eastAsia="仿宋_GB2312"/>
          <w:sz w:val="30"/>
          <w:szCs w:val="30"/>
        </w:rPr>
        <w:t>6. 负责按照招生计划进行招生及收费上缴的工作。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400" w:lineRule="exact"/>
        <w:ind w:firstLine="750" w:firstLineChars="250"/>
        <w:rPr>
          <w:rFonts w:ascii="仿宋_GB2312" w:eastAsia="仿宋_GB2312"/>
          <w:sz w:val="30"/>
          <w:szCs w:val="30"/>
        </w:rPr>
      </w:pPr>
      <w:r>
        <w:rPr>
          <w:rFonts w:hint="eastAsia" w:ascii="仿宋_GB2312" w:eastAsia="仿宋_GB2312"/>
          <w:sz w:val="30"/>
          <w:szCs w:val="30"/>
        </w:rPr>
        <w:t>7. 负责学校教师的思想文化建设工作及继续教育工作。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400" w:lineRule="exact"/>
        <w:ind w:firstLine="750" w:firstLineChars="250"/>
        <w:rPr>
          <w:rFonts w:ascii="仿宋_GB2312" w:eastAsia="仿宋_GB2312"/>
          <w:sz w:val="30"/>
          <w:szCs w:val="30"/>
        </w:rPr>
      </w:pPr>
      <w:r>
        <w:rPr>
          <w:rFonts w:hint="eastAsia" w:ascii="仿宋_GB2312" w:eastAsia="仿宋_GB2312"/>
          <w:sz w:val="30"/>
          <w:szCs w:val="30"/>
        </w:rPr>
        <w:t>8. 负责学生的思想文化道德方面的具体教育疏导工作。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400" w:lineRule="exact"/>
        <w:ind w:firstLine="750" w:firstLineChars="250"/>
        <w:rPr>
          <w:rFonts w:ascii="仿宋_GB2312" w:eastAsia="仿宋_GB2312"/>
          <w:sz w:val="30"/>
          <w:szCs w:val="30"/>
        </w:rPr>
      </w:pPr>
      <w:r>
        <w:rPr>
          <w:rFonts w:hint="eastAsia" w:ascii="仿宋_GB2312" w:eastAsia="仿宋_GB2312"/>
          <w:sz w:val="30"/>
          <w:szCs w:val="30"/>
        </w:rPr>
        <w:t>9. 负责做好学校资金预算，向主管部门提供教育经费需求数据</w:t>
      </w:r>
    </w:p>
    <w:p>
      <w:pPr>
        <w:spacing w:line="400" w:lineRule="exact"/>
        <w:ind w:firstLine="600" w:firstLineChars="200"/>
        <w:rPr>
          <w:rFonts w:ascii="仿宋_GB2312" w:hAnsi="Cambria" w:eastAsia="仿宋_GB2312" w:cs="ArialUnicodeMS"/>
          <w:sz w:val="32"/>
          <w:szCs w:val="32"/>
        </w:rPr>
      </w:pPr>
      <w:r>
        <w:rPr>
          <w:rFonts w:hint="eastAsia" w:ascii="仿宋_GB2312" w:eastAsia="仿宋_GB2312"/>
          <w:sz w:val="30"/>
          <w:szCs w:val="30"/>
        </w:rPr>
        <w:t>10. 承办市委、市政府及上级主管部门交办的其他工作。</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秦皇岛市第一中学</w:t>
            </w:r>
          </w:p>
        </w:tc>
        <w:tc>
          <w:tcPr>
            <w:tcW w:w="1843" w:type="dxa"/>
            <w:vAlign w:val="center"/>
          </w:tcPr>
          <w:p>
            <w:pPr>
              <w:pStyle w:val="12"/>
            </w:pPr>
            <w:r>
              <w:t>事业</w:t>
            </w:r>
          </w:p>
        </w:tc>
        <w:tc>
          <w:tcPr>
            <w:tcW w:w="2126" w:type="dxa"/>
            <w:vAlign w:val="center"/>
          </w:tcPr>
          <w:p>
            <w:pPr>
              <w:pStyle w:val="12"/>
            </w:pPr>
            <w:r>
              <w:t>副处（县）级</w:t>
            </w:r>
          </w:p>
        </w:tc>
        <w:tc>
          <w:tcPr>
            <w:tcW w:w="3827" w:type="dxa"/>
            <w:vAlign w:val="center"/>
          </w:tcPr>
          <w:p>
            <w:pPr>
              <w:pStyle w:val="12"/>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980" w:firstLineChars="350"/>
        <w:rPr>
          <w:rFonts w:eastAsiaTheme="minorEastAsia"/>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pPr>
        <w:ind w:left="-15" w:firstLine="640" w:firstLineChars="200"/>
        <w:rPr>
          <w:rFonts w:ascii="仿宋" w:hAnsi="仿宋" w:eastAsia="仿宋"/>
          <w:sz w:val="32"/>
          <w:szCs w:val="32"/>
        </w:rPr>
      </w:pPr>
      <w:r>
        <w:rPr>
          <w:rFonts w:hint="eastAsia" w:ascii="仿宋" w:hAnsi="仿宋" w:eastAsia="仿宋"/>
          <w:sz w:val="32"/>
          <w:szCs w:val="32"/>
        </w:rPr>
        <w:t xml:space="preserve">  1、收入说明</w:t>
      </w:r>
    </w:p>
    <w:p>
      <w:pPr>
        <w:ind w:left="-15" w:firstLine="1440" w:firstLineChars="450"/>
        <w:rPr>
          <w:rFonts w:ascii="仿宋" w:hAnsi="仿宋" w:eastAsia="仿宋"/>
          <w:sz w:val="32"/>
          <w:szCs w:val="32"/>
        </w:rPr>
      </w:pPr>
      <w:r>
        <w:rPr>
          <w:rFonts w:hint="eastAsia" w:ascii="仿宋" w:hAnsi="仿宋" w:eastAsia="仿宋"/>
          <w:sz w:val="32"/>
          <w:szCs w:val="32"/>
        </w:rPr>
        <w:t>反映本校当年全部收入。</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eastAsia="zh-CN"/>
        </w:rPr>
        <w:t>2</w:t>
      </w:r>
      <w:r>
        <w:rPr>
          <w:rFonts w:hint="eastAsia" w:ascii="仿宋" w:hAnsi="仿宋" w:eastAsia="仿宋"/>
          <w:sz w:val="32"/>
          <w:szCs w:val="32"/>
        </w:rPr>
        <w:t>年预算收入</w:t>
      </w:r>
      <w:r>
        <w:rPr>
          <w:rFonts w:hint="eastAsia" w:ascii="仿宋" w:hAnsi="仿宋" w:eastAsia="仿宋"/>
          <w:sz w:val="32"/>
          <w:szCs w:val="32"/>
          <w:lang w:eastAsia="zh-CN"/>
        </w:rPr>
        <w:t>7957.44</w:t>
      </w:r>
      <w:r>
        <w:rPr>
          <w:rFonts w:hint="eastAsia" w:ascii="仿宋" w:hAnsi="仿宋" w:eastAsia="仿宋"/>
          <w:sz w:val="32"/>
          <w:szCs w:val="32"/>
        </w:rPr>
        <w:t>万元，其中，一般公共预算拨款</w:t>
      </w:r>
      <w:r>
        <w:rPr>
          <w:rFonts w:hint="eastAsia" w:ascii="仿宋" w:hAnsi="仿宋" w:eastAsia="仿宋"/>
          <w:sz w:val="32"/>
          <w:szCs w:val="32"/>
          <w:lang w:eastAsia="zh-CN"/>
        </w:rPr>
        <w:t>7191.44</w:t>
      </w:r>
      <w:r>
        <w:rPr>
          <w:rFonts w:hint="eastAsia" w:ascii="仿宋" w:hAnsi="仿宋" w:eastAsia="仿宋"/>
          <w:sz w:val="32"/>
          <w:szCs w:val="32"/>
        </w:rPr>
        <w:t>万元、财政专户核拨</w:t>
      </w:r>
      <w:r>
        <w:rPr>
          <w:rFonts w:hint="eastAsia" w:ascii="仿宋" w:hAnsi="仿宋" w:eastAsia="仿宋"/>
          <w:sz w:val="32"/>
          <w:szCs w:val="32"/>
          <w:lang w:eastAsia="zh-CN"/>
        </w:rPr>
        <w:t>766</w:t>
      </w:r>
      <w:r>
        <w:rPr>
          <w:rFonts w:hint="eastAsia" w:ascii="仿宋" w:hAnsi="仿宋" w:eastAsia="仿宋"/>
          <w:sz w:val="32"/>
          <w:szCs w:val="32"/>
        </w:rPr>
        <w:t xml:space="preserve">万元。 </w:t>
      </w:r>
    </w:p>
    <w:p>
      <w:pPr>
        <w:ind w:left="-15"/>
        <w:rPr>
          <w:rFonts w:ascii="仿宋" w:hAnsi="仿宋" w:eastAsia="仿宋"/>
          <w:sz w:val="32"/>
          <w:szCs w:val="32"/>
        </w:rPr>
      </w:pPr>
      <w:r>
        <w:rPr>
          <w:rFonts w:hint="eastAsia" w:ascii="仿宋" w:hAnsi="仿宋" w:eastAsia="仿宋"/>
          <w:sz w:val="32"/>
          <w:szCs w:val="32"/>
        </w:rPr>
        <w:t xml:space="preserve"> 2、支出说明</w:t>
      </w:r>
    </w:p>
    <w:p>
      <w:pPr>
        <w:spacing w:before="10" w:after="10"/>
        <w:ind w:firstLine="1280" w:firstLineChars="400"/>
        <w:outlineLvl w:val="5"/>
        <w:rPr>
          <w:rFonts w:ascii="仿宋" w:hAnsi="仿宋" w:eastAsia="仿宋"/>
          <w:sz w:val="32"/>
          <w:szCs w:val="32"/>
          <w:lang w:eastAsia="zh-CN"/>
        </w:rPr>
      </w:pPr>
      <w:r>
        <w:rPr>
          <w:rFonts w:hint="eastAsia" w:ascii="仿宋" w:hAnsi="仿宋" w:eastAsia="仿宋"/>
          <w:sz w:val="32"/>
          <w:szCs w:val="32"/>
        </w:rPr>
        <w:t>收支预算总表、基本支出表、项目支出表按经济分类和支出功能分类科目编制，反映秦皇岛市第一中学年度预算中支出预算的总体情况。</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eastAsia="zh-CN"/>
        </w:rPr>
        <w:t>2</w:t>
      </w:r>
      <w:r>
        <w:rPr>
          <w:rFonts w:hint="eastAsia" w:ascii="仿宋" w:hAnsi="仿宋" w:eastAsia="仿宋"/>
          <w:sz w:val="32"/>
          <w:szCs w:val="32"/>
        </w:rPr>
        <w:t>年支出预算</w:t>
      </w:r>
      <w:r>
        <w:rPr>
          <w:rFonts w:hint="eastAsia" w:ascii="仿宋" w:hAnsi="仿宋" w:eastAsia="仿宋"/>
          <w:sz w:val="32"/>
          <w:szCs w:val="32"/>
          <w:lang w:eastAsia="zh-CN"/>
        </w:rPr>
        <w:t>7957.44</w:t>
      </w:r>
      <w:r>
        <w:rPr>
          <w:rFonts w:hint="eastAsia" w:ascii="仿宋" w:hAnsi="仿宋" w:eastAsia="仿宋"/>
          <w:sz w:val="32"/>
          <w:szCs w:val="32"/>
        </w:rPr>
        <w:t>万元，包括人员经费</w:t>
      </w:r>
      <w:r>
        <w:rPr>
          <w:rFonts w:hint="eastAsia" w:ascii="仿宋" w:hAnsi="仿宋" w:eastAsia="仿宋"/>
          <w:sz w:val="32"/>
          <w:szCs w:val="32"/>
          <w:lang w:eastAsia="zh-CN"/>
        </w:rPr>
        <w:t>7055.79</w:t>
      </w:r>
      <w:r>
        <w:rPr>
          <w:rFonts w:hint="eastAsia" w:ascii="仿宋" w:hAnsi="仿宋" w:eastAsia="仿宋"/>
          <w:sz w:val="32"/>
          <w:szCs w:val="32"/>
        </w:rPr>
        <w:t>万元、日常公用经费</w:t>
      </w:r>
      <w:r>
        <w:rPr>
          <w:rFonts w:hint="eastAsia" w:ascii="仿宋" w:hAnsi="仿宋" w:eastAsia="仿宋"/>
          <w:sz w:val="32"/>
          <w:szCs w:val="32"/>
          <w:lang w:eastAsia="zh-CN"/>
        </w:rPr>
        <w:t>121.65</w:t>
      </w:r>
      <w:r>
        <w:rPr>
          <w:rFonts w:hint="eastAsia" w:ascii="仿宋" w:hAnsi="仿宋" w:eastAsia="仿宋"/>
          <w:sz w:val="32"/>
          <w:szCs w:val="32"/>
        </w:rPr>
        <w:t>万元和项目支出</w:t>
      </w:r>
      <w:r>
        <w:rPr>
          <w:rFonts w:hint="eastAsia" w:ascii="仿宋" w:hAnsi="仿宋" w:eastAsia="仿宋"/>
          <w:sz w:val="32"/>
          <w:szCs w:val="32"/>
          <w:lang w:eastAsia="zh-CN"/>
        </w:rPr>
        <w:t>780</w:t>
      </w:r>
      <w:r>
        <w:rPr>
          <w:rFonts w:hint="eastAsia" w:ascii="仿宋" w:hAnsi="仿宋" w:eastAsia="仿宋"/>
          <w:sz w:val="32"/>
          <w:szCs w:val="32"/>
        </w:rPr>
        <w:t>万元，未安排其他支出。</w:t>
      </w:r>
    </w:p>
    <w:p>
      <w:pPr>
        <w:ind w:left="-15" w:right="296" w:firstLine="960" w:firstLineChars="300"/>
        <w:rPr>
          <w:rFonts w:ascii="仿宋" w:hAnsi="仿宋" w:eastAsia="仿宋"/>
          <w:sz w:val="32"/>
          <w:szCs w:val="32"/>
        </w:rPr>
      </w:pPr>
      <w:r>
        <w:rPr>
          <w:rFonts w:hint="eastAsia" w:ascii="仿宋" w:hAnsi="仿宋" w:eastAsia="仿宋"/>
          <w:sz w:val="32"/>
          <w:szCs w:val="32"/>
        </w:rPr>
        <w:t>3、比上年增减情况</w:t>
      </w:r>
    </w:p>
    <w:p>
      <w:pPr>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eastAsia="zh-CN"/>
        </w:rPr>
        <w:t>2</w:t>
      </w:r>
      <w:r>
        <w:rPr>
          <w:rFonts w:hint="eastAsia" w:ascii="仿宋" w:hAnsi="仿宋" w:eastAsia="仿宋"/>
          <w:sz w:val="32"/>
          <w:szCs w:val="32"/>
        </w:rPr>
        <w:t>年预算收支安排</w:t>
      </w:r>
      <w:r>
        <w:rPr>
          <w:rFonts w:hint="eastAsia" w:ascii="仿宋" w:hAnsi="仿宋" w:eastAsia="仿宋"/>
          <w:sz w:val="32"/>
          <w:szCs w:val="32"/>
          <w:lang w:eastAsia="zh-CN"/>
        </w:rPr>
        <w:t>7957.44</w:t>
      </w:r>
      <w:r>
        <w:rPr>
          <w:rFonts w:hint="eastAsia" w:ascii="仿宋" w:hAnsi="仿宋" w:eastAsia="仿宋"/>
          <w:sz w:val="32"/>
          <w:szCs w:val="32"/>
        </w:rPr>
        <w:t>万元，较202</w:t>
      </w:r>
      <w:r>
        <w:rPr>
          <w:rFonts w:hint="eastAsia" w:ascii="仿宋" w:hAnsi="仿宋" w:eastAsia="仿宋"/>
          <w:sz w:val="32"/>
          <w:szCs w:val="32"/>
          <w:lang w:eastAsia="zh-CN"/>
        </w:rPr>
        <w:t>1</w:t>
      </w:r>
      <w:r>
        <w:rPr>
          <w:rFonts w:hint="eastAsia" w:ascii="仿宋" w:hAnsi="仿宋" w:eastAsia="仿宋"/>
          <w:sz w:val="32"/>
          <w:szCs w:val="32"/>
        </w:rPr>
        <w:t>年预算</w:t>
      </w:r>
      <w:r>
        <w:rPr>
          <w:rFonts w:hint="eastAsia" w:ascii="仿宋" w:hAnsi="仿宋" w:eastAsia="仿宋"/>
          <w:sz w:val="32"/>
          <w:szCs w:val="32"/>
          <w:lang w:eastAsia="zh-CN"/>
        </w:rPr>
        <w:t>增加530</w:t>
      </w:r>
      <w:r>
        <w:rPr>
          <w:rFonts w:hint="eastAsia" w:ascii="仿宋" w:hAnsi="仿宋" w:eastAsia="仿宋"/>
          <w:sz w:val="32"/>
          <w:szCs w:val="32"/>
        </w:rPr>
        <w:t>万元，其中：人员支出</w:t>
      </w:r>
      <w:r>
        <w:rPr>
          <w:rFonts w:hint="eastAsia" w:ascii="仿宋" w:hAnsi="仿宋" w:eastAsia="仿宋"/>
          <w:sz w:val="32"/>
          <w:szCs w:val="32"/>
          <w:lang w:eastAsia="zh-CN"/>
        </w:rPr>
        <w:t>增加597.48</w:t>
      </w:r>
      <w:r>
        <w:rPr>
          <w:rFonts w:hint="eastAsia" w:ascii="仿宋" w:hAnsi="仿宋" w:eastAsia="仿宋"/>
          <w:sz w:val="32"/>
          <w:szCs w:val="32"/>
        </w:rPr>
        <w:t>万元，日常公用支出减少</w:t>
      </w:r>
      <w:r>
        <w:rPr>
          <w:rFonts w:hint="eastAsia" w:ascii="仿宋" w:hAnsi="仿宋" w:eastAsia="仿宋"/>
          <w:sz w:val="32"/>
          <w:szCs w:val="32"/>
          <w:lang w:eastAsia="zh-CN"/>
        </w:rPr>
        <w:t>33.97</w:t>
      </w:r>
      <w:r>
        <w:rPr>
          <w:rFonts w:hint="eastAsia" w:ascii="仿宋" w:hAnsi="仿宋" w:eastAsia="仿宋"/>
          <w:sz w:val="32"/>
          <w:szCs w:val="32"/>
        </w:rPr>
        <w:t>万元；项目减少</w:t>
      </w:r>
      <w:r>
        <w:rPr>
          <w:rFonts w:hint="eastAsia" w:ascii="仿宋" w:hAnsi="仿宋" w:eastAsia="仿宋"/>
          <w:sz w:val="32"/>
          <w:szCs w:val="32"/>
          <w:lang w:eastAsia="zh-CN"/>
        </w:rPr>
        <w:t>32.52</w:t>
      </w:r>
      <w:r>
        <w:rPr>
          <w:rFonts w:hint="eastAsia" w:ascii="仿宋" w:hAnsi="仿宋" w:eastAsia="仿宋"/>
          <w:sz w:val="32"/>
          <w:szCs w:val="32"/>
        </w:rPr>
        <w:t>万元。</w:t>
      </w:r>
    </w:p>
    <w:p>
      <w:pPr>
        <w:spacing w:before="10" w:after="10"/>
        <w:ind w:firstLine="1280" w:firstLineChars="400"/>
        <w:outlineLvl w:val="5"/>
        <w:rPr>
          <w:rFonts w:ascii="仿宋" w:hAnsi="仿宋" w:eastAsia="仿宋"/>
          <w:sz w:val="32"/>
          <w:szCs w:val="32"/>
          <w:lang w:eastAsia="zh-CN"/>
        </w:rPr>
      </w:pPr>
    </w:p>
    <w:p>
      <w:pPr>
        <w:spacing w:before="10" w:after="10"/>
        <w:ind w:firstLine="640" w:firstLineChars="20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rFonts w:hint="eastAsia" w:ascii="华文仿宋" w:hAnsi="华文仿宋" w:eastAsia="华文仿宋" w:cs="华文仿宋"/>
          <w:b w:val="0"/>
          <w:bCs w:val="0"/>
          <w:lang w:eastAsia="zh-CN"/>
        </w:rPr>
      </w:pPr>
      <w:r>
        <w:rPr>
          <w:rFonts w:hint="eastAsia" w:ascii="黑体" w:hAnsi="黑体" w:eastAsia="黑体" w:cs="黑体"/>
          <w:color w:val="000000"/>
          <w:sz w:val="32"/>
          <w:lang w:eastAsia="zh-CN"/>
        </w:rPr>
        <w:t xml:space="preserve">   </w:t>
      </w:r>
      <w:r>
        <w:rPr>
          <w:rFonts w:hint="eastAsia" w:ascii="华文仿宋" w:hAnsi="华文仿宋" w:eastAsia="华文仿宋" w:cs="华文仿宋"/>
          <w:b w:val="0"/>
          <w:bCs w:val="0"/>
          <w:color w:val="000000"/>
          <w:sz w:val="32"/>
          <w:lang w:eastAsia="zh-CN"/>
        </w:rPr>
        <w:t xml:space="preserve"> 我单位无机关运行经费安排</w:t>
      </w:r>
    </w:p>
    <w:p>
      <w:pPr>
        <w:pStyle w:val="19"/>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ascii="华文仿宋" w:hAnsi="华文仿宋" w:eastAsia="华文仿宋" w:cs="华文仿宋"/>
          <w:lang w:eastAsia="zh-CN"/>
        </w:rPr>
      </w:pPr>
      <w:r>
        <w:rPr>
          <w:rFonts w:hint="eastAsia" w:ascii="黑体" w:hAnsi="黑体" w:eastAsia="黑体" w:cs="黑体"/>
          <w:color w:val="000000"/>
          <w:sz w:val="32"/>
          <w:lang w:eastAsia="zh-CN"/>
        </w:rPr>
        <w:t xml:space="preserve">    </w:t>
      </w:r>
      <w:r>
        <w:rPr>
          <w:rFonts w:hint="eastAsia" w:ascii="华文仿宋" w:hAnsi="华文仿宋" w:eastAsia="华文仿宋" w:cs="华文仿宋"/>
          <w:color w:val="000000"/>
          <w:sz w:val="32"/>
          <w:lang w:eastAsia="zh-CN"/>
        </w:rPr>
        <w:t>我单位无财政拨款三公经费预算情况与上年一致、无增减变化</w:t>
      </w:r>
    </w:p>
    <w:p>
      <w:pPr>
        <w:pStyle w:val="20"/>
      </w:pPr>
    </w:p>
    <w:p>
      <w:pPr>
        <w:spacing w:before="10" w:after="10"/>
        <w:ind w:firstLine="640"/>
        <w:outlineLvl w:val="5"/>
      </w:pPr>
      <w:r>
        <w:rPr>
          <w:rFonts w:ascii="黑体" w:hAnsi="黑体" w:eastAsia="黑体" w:cs="黑体"/>
          <w:color w:val="000000"/>
          <w:sz w:val="32"/>
        </w:rPr>
        <w:t>五、预算绩效信息</w:t>
      </w:r>
    </w:p>
    <w:p>
      <w:pPr>
        <w:pStyle w:val="21"/>
        <w:ind w:firstLine="560"/>
      </w:pPr>
      <w:r>
        <w:rPr>
          <w:rFonts w:ascii="方正仿宋_GBK" w:hAnsi="方正仿宋_GBK" w:eastAsia="方正仿宋_GBK" w:cs="方正仿宋_GBK"/>
          <w:b/>
          <w:color w:val="000000"/>
          <w:sz w:val="28"/>
        </w:rPr>
        <w:t>1、市直高中经费奖补绩效目标表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3"/>
            </w:pPr>
            <w:r>
              <w:t>1.全面保障学校教育教学有序进行，顺利完成2022学年各项任务。</w:t>
            </w:r>
          </w:p>
          <w:p>
            <w:pPr>
              <w:pStyle w:val="23"/>
            </w:pPr>
            <w:r>
              <w:t>2.改善基本办学条件，为师生提供优质的学习氛围和生活环境。</w:t>
            </w:r>
          </w:p>
          <w:p>
            <w:pPr>
              <w:pStyle w:val="23"/>
            </w:pPr>
            <w:r>
              <w:t>3.唱响学校品牌知名度、加强教师队伍建设。</w:t>
            </w:r>
          </w:p>
        </w:tc>
      </w:tr>
    </w:tbl>
    <w:p>
      <w:pPr>
        <w:pStyle w:val="21"/>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4"/>
            </w:pPr>
            <w:r>
              <w:t>产出指标</w:t>
            </w:r>
          </w:p>
        </w:tc>
        <w:tc>
          <w:tcPr>
            <w:tcW w:w="2268" w:type="dxa"/>
            <w:vAlign w:val="center"/>
          </w:tcPr>
          <w:p>
            <w:pPr>
              <w:pStyle w:val="23"/>
            </w:pPr>
            <w:r>
              <w:t>数量指标</w:t>
            </w:r>
          </w:p>
        </w:tc>
        <w:tc>
          <w:tcPr>
            <w:tcW w:w="2835" w:type="dxa"/>
            <w:vAlign w:val="center"/>
          </w:tcPr>
          <w:p>
            <w:pPr>
              <w:pStyle w:val="23"/>
            </w:pPr>
            <w:r>
              <w:t>用于学校提升管理水平的项目数量</w:t>
            </w:r>
          </w:p>
        </w:tc>
        <w:tc>
          <w:tcPr>
            <w:tcW w:w="2835" w:type="dxa"/>
            <w:vAlign w:val="center"/>
          </w:tcPr>
          <w:p>
            <w:pPr>
              <w:pStyle w:val="23"/>
            </w:pPr>
            <w:r>
              <w:t>反映用于学校提升管理水平的项目数量，建构一中科学高效的管理体系、抓好班级管理、完善全员封闭式管理的新模式、课程规范化管理、助奖学基金的管理、学生宿舍管理、网格化安全管理、校产管理、财务管理等项目</w:t>
            </w:r>
          </w:p>
        </w:tc>
        <w:tc>
          <w:tcPr>
            <w:tcW w:w="2551" w:type="dxa"/>
            <w:vAlign w:val="center"/>
          </w:tcPr>
          <w:p>
            <w:pPr>
              <w:pStyle w:val="23"/>
            </w:pPr>
            <w:r>
              <w:t>≥9项</w:t>
            </w:r>
          </w:p>
        </w:tc>
        <w:tc>
          <w:tcPr>
            <w:tcW w:w="2268" w:type="dxa"/>
            <w:vAlign w:val="center"/>
          </w:tcPr>
          <w:p>
            <w:pPr>
              <w:pStyle w:val="23"/>
            </w:pPr>
            <w:r>
              <w:t>2021年计划目标值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1"/>
            </w:pPr>
          </w:p>
        </w:tc>
        <w:tc>
          <w:tcPr>
            <w:tcW w:w="2268" w:type="dxa"/>
            <w:vAlign w:val="center"/>
          </w:tcPr>
          <w:p>
            <w:pPr>
              <w:pStyle w:val="23"/>
            </w:pPr>
            <w:r>
              <w:t>质量指标</w:t>
            </w:r>
          </w:p>
        </w:tc>
        <w:tc>
          <w:tcPr>
            <w:tcW w:w="2835" w:type="dxa"/>
            <w:vAlign w:val="center"/>
          </w:tcPr>
          <w:p>
            <w:pPr>
              <w:pStyle w:val="23"/>
            </w:pPr>
            <w:r>
              <w:t>修缮改造任务完成率</w:t>
            </w:r>
          </w:p>
        </w:tc>
        <w:tc>
          <w:tcPr>
            <w:tcW w:w="2835" w:type="dxa"/>
            <w:vAlign w:val="center"/>
          </w:tcPr>
          <w:p>
            <w:pPr>
              <w:pStyle w:val="23"/>
            </w:pPr>
            <w:r>
              <w:t>改善基本办学条件，反映修缮改造工作任务完成比例</w:t>
            </w:r>
          </w:p>
        </w:tc>
        <w:tc>
          <w:tcPr>
            <w:tcW w:w="2551" w:type="dxa"/>
            <w:vAlign w:val="center"/>
          </w:tcPr>
          <w:p>
            <w:pPr>
              <w:pStyle w:val="23"/>
            </w:pPr>
            <w:r>
              <w:t>≥95%</w:t>
            </w:r>
          </w:p>
        </w:tc>
        <w:tc>
          <w:tcPr>
            <w:tcW w:w="2268" w:type="dxa"/>
            <w:vAlign w:val="center"/>
          </w:tcPr>
          <w:p>
            <w:pPr>
              <w:pStyle w:val="23"/>
            </w:pPr>
            <w:r>
              <w:t>计划目标值，历史完成值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1"/>
            </w:pPr>
          </w:p>
        </w:tc>
        <w:tc>
          <w:tcPr>
            <w:tcW w:w="2268" w:type="dxa"/>
            <w:vAlign w:val="center"/>
          </w:tcPr>
          <w:p>
            <w:pPr>
              <w:pStyle w:val="23"/>
            </w:pPr>
            <w:r>
              <w:t>时效指标</w:t>
            </w:r>
          </w:p>
        </w:tc>
        <w:tc>
          <w:tcPr>
            <w:tcW w:w="2835" w:type="dxa"/>
            <w:vAlign w:val="center"/>
          </w:tcPr>
          <w:p>
            <w:pPr>
              <w:pStyle w:val="23"/>
            </w:pPr>
            <w:r>
              <w:t>教育教学业务工作完成率</w:t>
            </w:r>
          </w:p>
        </w:tc>
        <w:tc>
          <w:tcPr>
            <w:tcW w:w="2835" w:type="dxa"/>
            <w:vAlign w:val="center"/>
          </w:tcPr>
          <w:p>
            <w:pPr>
              <w:pStyle w:val="23"/>
            </w:pPr>
            <w:r>
              <w:t>反映项目实施工程按标准、合同实际完成及时性情况</w:t>
            </w:r>
          </w:p>
        </w:tc>
        <w:tc>
          <w:tcPr>
            <w:tcW w:w="2551" w:type="dxa"/>
            <w:vAlign w:val="center"/>
          </w:tcPr>
          <w:p>
            <w:pPr>
              <w:pStyle w:val="23"/>
            </w:pPr>
            <w:r>
              <w:t>≥95%</w:t>
            </w:r>
          </w:p>
        </w:tc>
        <w:tc>
          <w:tcPr>
            <w:tcW w:w="2268" w:type="dxa"/>
            <w:vAlign w:val="center"/>
          </w:tcPr>
          <w:p>
            <w:pPr>
              <w:pStyle w:val="23"/>
            </w:pPr>
            <w:r>
              <w:t>计划目标值，维修合同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1"/>
            </w:pPr>
          </w:p>
        </w:tc>
        <w:tc>
          <w:tcPr>
            <w:tcW w:w="2268" w:type="dxa"/>
            <w:vAlign w:val="center"/>
          </w:tcPr>
          <w:p>
            <w:pPr>
              <w:pStyle w:val="23"/>
            </w:pPr>
            <w:r>
              <w:t>成本指标</w:t>
            </w:r>
          </w:p>
        </w:tc>
        <w:tc>
          <w:tcPr>
            <w:tcW w:w="2835" w:type="dxa"/>
            <w:vAlign w:val="center"/>
          </w:tcPr>
          <w:p>
            <w:pPr>
              <w:pStyle w:val="23"/>
            </w:pPr>
            <w:r>
              <w:t>项目预算控制率</w:t>
            </w:r>
          </w:p>
        </w:tc>
        <w:tc>
          <w:tcPr>
            <w:tcW w:w="2835" w:type="dxa"/>
            <w:vAlign w:val="center"/>
          </w:tcPr>
          <w:p>
            <w:pPr>
              <w:pStyle w:val="23"/>
            </w:pPr>
            <w:r>
              <w:t>取暖费&lt;=300万元，物业费&lt;=200万元，日常办公费&lt;=174.5</w:t>
            </w:r>
          </w:p>
          <w:p>
            <w:pPr>
              <w:pStyle w:val="23"/>
            </w:pPr>
            <w:r>
              <w:t>万元，维修维护费&lt;=40万元，专用材料费&lt;=40万元，其他费用&lt;=9.38万元，项目资金预算执行情况</w:t>
            </w:r>
          </w:p>
        </w:tc>
        <w:tc>
          <w:tcPr>
            <w:tcW w:w="2551" w:type="dxa"/>
            <w:vAlign w:val="center"/>
          </w:tcPr>
          <w:p>
            <w:pPr>
              <w:pStyle w:val="23"/>
            </w:pPr>
            <w:r>
              <w:t>≤780万元</w:t>
            </w:r>
          </w:p>
        </w:tc>
        <w:tc>
          <w:tcPr>
            <w:tcW w:w="2268" w:type="dxa"/>
            <w:vAlign w:val="center"/>
          </w:tcPr>
          <w:p>
            <w:pPr>
              <w:pStyle w:val="23"/>
            </w:pPr>
            <w:r>
              <w:t>项目资金预算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4"/>
            </w:pPr>
            <w:r>
              <w:t>效益指标</w:t>
            </w:r>
          </w:p>
        </w:tc>
        <w:tc>
          <w:tcPr>
            <w:tcW w:w="2268" w:type="dxa"/>
            <w:vAlign w:val="center"/>
          </w:tcPr>
          <w:p>
            <w:pPr>
              <w:pStyle w:val="23"/>
            </w:pPr>
            <w:r>
              <w:t>可持续影响指标</w:t>
            </w:r>
          </w:p>
        </w:tc>
        <w:tc>
          <w:tcPr>
            <w:tcW w:w="2835" w:type="dxa"/>
            <w:vAlign w:val="center"/>
          </w:tcPr>
          <w:p>
            <w:pPr>
              <w:pStyle w:val="23"/>
            </w:pPr>
            <w:r>
              <w:t>科研兴校任务完成率</w:t>
            </w:r>
          </w:p>
        </w:tc>
        <w:tc>
          <w:tcPr>
            <w:tcW w:w="2835" w:type="dxa"/>
            <w:vAlign w:val="center"/>
          </w:tcPr>
          <w:p>
            <w:pPr>
              <w:pStyle w:val="23"/>
            </w:pPr>
            <w:r>
              <w:t>通过科研兴校，促进教育教学水平提升，推动教师专业发展。主要任务有：选拔出2020级科技创新后备人才，强化校级课题研究，做好教师队伍专业发展及青年教师的各项培养工作，建立校级名师工作室</w:t>
            </w:r>
          </w:p>
        </w:tc>
        <w:tc>
          <w:tcPr>
            <w:tcW w:w="2551" w:type="dxa"/>
            <w:vAlign w:val="center"/>
          </w:tcPr>
          <w:p>
            <w:pPr>
              <w:pStyle w:val="23"/>
            </w:pPr>
            <w:r>
              <w:t>≥90%</w:t>
            </w:r>
          </w:p>
        </w:tc>
        <w:tc>
          <w:tcPr>
            <w:tcW w:w="2268" w:type="dxa"/>
            <w:vAlign w:val="center"/>
          </w:tcPr>
          <w:p>
            <w:pPr>
              <w:pStyle w:val="2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1"/>
            </w:pPr>
          </w:p>
        </w:tc>
        <w:tc>
          <w:tcPr>
            <w:tcW w:w="2268" w:type="dxa"/>
            <w:vAlign w:val="center"/>
          </w:tcPr>
          <w:p>
            <w:pPr>
              <w:pStyle w:val="23"/>
            </w:pPr>
            <w:r>
              <w:t>社会效益指标</w:t>
            </w:r>
          </w:p>
        </w:tc>
        <w:tc>
          <w:tcPr>
            <w:tcW w:w="2835" w:type="dxa"/>
            <w:vAlign w:val="center"/>
          </w:tcPr>
          <w:p>
            <w:pPr>
              <w:pStyle w:val="23"/>
            </w:pPr>
            <w:r>
              <w:t>高中升学率</w:t>
            </w:r>
          </w:p>
        </w:tc>
        <w:tc>
          <w:tcPr>
            <w:tcW w:w="2835" w:type="dxa"/>
            <w:vAlign w:val="center"/>
          </w:tcPr>
          <w:p>
            <w:pPr>
              <w:pStyle w:val="23"/>
            </w:pPr>
            <w:r>
              <w:t>高中升学率=高中升入各类高校学生数/高中应届毕业生数*100%</w:t>
            </w:r>
          </w:p>
        </w:tc>
        <w:tc>
          <w:tcPr>
            <w:tcW w:w="2551" w:type="dxa"/>
            <w:vAlign w:val="center"/>
          </w:tcPr>
          <w:p>
            <w:pPr>
              <w:pStyle w:val="23"/>
            </w:pPr>
            <w:r>
              <w:t>≥90%</w:t>
            </w:r>
          </w:p>
        </w:tc>
        <w:tc>
          <w:tcPr>
            <w:tcW w:w="2268" w:type="dxa"/>
            <w:vAlign w:val="center"/>
          </w:tcPr>
          <w:p>
            <w:pPr>
              <w:pStyle w:val="2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1"/>
            </w:pPr>
          </w:p>
        </w:tc>
        <w:tc>
          <w:tcPr>
            <w:tcW w:w="2268" w:type="dxa"/>
            <w:vAlign w:val="center"/>
          </w:tcPr>
          <w:p>
            <w:pPr>
              <w:pStyle w:val="23"/>
            </w:pPr>
            <w:r>
              <w:t>经济效益指标</w:t>
            </w:r>
          </w:p>
        </w:tc>
        <w:tc>
          <w:tcPr>
            <w:tcW w:w="2835" w:type="dxa"/>
            <w:vAlign w:val="center"/>
          </w:tcPr>
          <w:p>
            <w:pPr>
              <w:pStyle w:val="23"/>
            </w:pPr>
            <w:r>
              <w:t>带动城市经济发展贡献率</w:t>
            </w:r>
          </w:p>
        </w:tc>
        <w:tc>
          <w:tcPr>
            <w:tcW w:w="2835" w:type="dxa"/>
            <w:vAlign w:val="center"/>
          </w:tcPr>
          <w:p>
            <w:pPr>
              <w:pStyle w:val="23"/>
            </w:pPr>
            <w:r>
              <w:t>用于购置各项产品和服务项目资金/700万*100%</w:t>
            </w:r>
          </w:p>
        </w:tc>
        <w:tc>
          <w:tcPr>
            <w:tcW w:w="2551" w:type="dxa"/>
            <w:vAlign w:val="center"/>
          </w:tcPr>
          <w:p>
            <w:pPr>
              <w:pStyle w:val="23"/>
            </w:pPr>
            <w:r>
              <w:t>≥90%</w:t>
            </w:r>
          </w:p>
        </w:tc>
        <w:tc>
          <w:tcPr>
            <w:tcW w:w="2268" w:type="dxa"/>
            <w:vAlign w:val="center"/>
          </w:tcPr>
          <w:p>
            <w:pPr>
              <w:pStyle w:val="2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1"/>
            </w:pPr>
          </w:p>
        </w:tc>
        <w:tc>
          <w:tcPr>
            <w:tcW w:w="2268" w:type="dxa"/>
            <w:vAlign w:val="center"/>
          </w:tcPr>
          <w:p>
            <w:pPr>
              <w:pStyle w:val="23"/>
            </w:pPr>
            <w:r>
              <w:t>生态效益指标</w:t>
            </w:r>
          </w:p>
        </w:tc>
        <w:tc>
          <w:tcPr>
            <w:tcW w:w="2835" w:type="dxa"/>
            <w:vAlign w:val="center"/>
          </w:tcPr>
          <w:p>
            <w:pPr>
              <w:pStyle w:val="23"/>
            </w:pPr>
            <w:r>
              <w:t>校园生态环境优良率</w:t>
            </w:r>
          </w:p>
        </w:tc>
        <w:tc>
          <w:tcPr>
            <w:tcW w:w="2835" w:type="dxa"/>
            <w:vAlign w:val="center"/>
          </w:tcPr>
          <w:p>
            <w:pPr>
              <w:pStyle w:val="23"/>
            </w:pPr>
            <w:r>
              <w:t>校园绿化养护修缮等工作优质率</w:t>
            </w:r>
          </w:p>
        </w:tc>
        <w:tc>
          <w:tcPr>
            <w:tcW w:w="2551" w:type="dxa"/>
            <w:vAlign w:val="center"/>
          </w:tcPr>
          <w:p>
            <w:pPr>
              <w:pStyle w:val="23"/>
            </w:pPr>
            <w:r>
              <w:t>≥90%</w:t>
            </w:r>
          </w:p>
        </w:tc>
        <w:tc>
          <w:tcPr>
            <w:tcW w:w="2268" w:type="dxa"/>
            <w:vAlign w:val="center"/>
          </w:tcPr>
          <w:p>
            <w:pPr>
              <w:pStyle w:val="2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4"/>
            </w:pPr>
            <w:r>
              <w:t>满意度指标</w:t>
            </w:r>
          </w:p>
        </w:tc>
        <w:tc>
          <w:tcPr>
            <w:tcW w:w="2268" w:type="dxa"/>
            <w:vAlign w:val="center"/>
          </w:tcPr>
          <w:p>
            <w:pPr>
              <w:pStyle w:val="23"/>
            </w:pPr>
            <w:r>
              <w:t>服务对象满意度指标</w:t>
            </w:r>
          </w:p>
        </w:tc>
        <w:tc>
          <w:tcPr>
            <w:tcW w:w="2835" w:type="dxa"/>
            <w:vAlign w:val="center"/>
          </w:tcPr>
          <w:p>
            <w:pPr>
              <w:pStyle w:val="23"/>
            </w:pPr>
            <w:r>
              <w:t>学生满意度</w:t>
            </w:r>
          </w:p>
        </w:tc>
        <w:tc>
          <w:tcPr>
            <w:tcW w:w="2835" w:type="dxa"/>
            <w:vAlign w:val="center"/>
          </w:tcPr>
          <w:p>
            <w:pPr>
              <w:pStyle w:val="23"/>
            </w:pPr>
            <w:r>
              <w:t>学生对学校的各项工作认可程度（问卷调查）</w:t>
            </w:r>
          </w:p>
        </w:tc>
        <w:tc>
          <w:tcPr>
            <w:tcW w:w="2551" w:type="dxa"/>
            <w:vAlign w:val="center"/>
          </w:tcPr>
          <w:p>
            <w:pPr>
              <w:pStyle w:val="23"/>
            </w:pPr>
            <w:r>
              <w:t>≥90%</w:t>
            </w:r>
          </w:p>
        </w:tc>
        <w:tc>
          <w:tcPr>
            <w:tcW w:w="2268" w:type="dxa"/>
            <w:vAlign w:val="center"/>
          </w:tcPr>
          <w:p>
            <w:pPr>
              <w:pStyle w:val="23"/>
            </w:pPr>
            <w:r>
              <w:t>计划目标值</w:t>
            </w:r>
          </w:p>
        </w:tc>
      </w:tr>
    </w:tbl>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rPr>
          <w:rFonts w:hint="default" w:eastAsia="宋体"/>
          <w:b/>
          <w:bCs/>
          <w:lang w:val="en-US" w:eastAsia="zh-CN"/>
        </w:rPr>
      </w:pPr>
      <w:bookmarkStart w:id="1" w:name="_GoBack"/>
      <w:r>
        <w:rPr>
          <w:rFonts w:hint="eastAsia" w:eastAsia="宋体"/>
          <w:b/>
          <w:bCs/>
          <w:lang w:val="en-US" w:eastAsia="zh-CN"/>
        </w:rPr>
        <w:t>2、高中发展建设资金-市一中操场看台顶棚维修改造工程</w:t>
      </w:r>
    </w:p>
    <w:bookmarkEnd w:id="1"/>
    <w:tbl>
      <w:tblPr>
        <w:tblStyle w:val="5"/>
        <w:tblW w:w="144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662"/>
        <w:gridCol w:w="956"/>
        <w:gridCol w:w="2794"/>
        <w:gridCol w:w="2208"/>
        <w:gridCol w:w="1100"/>
        <w:gridCol w:w="758"/>
        <w:gridCol w:w="1035"/>
        <w:gridCol w:w="1918"/>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4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13030021UNBMBUAK0VLC9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5774"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高中建设发展资金-市一中操场看台顶棚维修改造工程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360-秦皇岛市教育局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360003-秦皇岛市第一中学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127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中长期目标（2020年-2021年）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b/>
                <w:bCs/>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对操场看台顶棚工程进行修缮，更换或维修存在安全隐患部位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b/>
                <w:bCs/>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拆除铝板面层及钢龙骨，对顶棚钢结构进行除锈，再按原设计图纸要求进行粉刷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1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2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2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修缮改造工作项数</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修缮改造实施工作项数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计划目标值</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实施改造工作项数≥3项为10分，每减少1项扣4分，扣完为止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重大事故发生率</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及时更换修缮、确保校内师生人身安全、保障使用操场看台使用性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计划目标值</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无重大事故情况发生为10分。有重大事故发生为0分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工程竣工及时率（%）</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工程竣工及时率（%）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计划目标值</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工程竣工及时率大于百分之九十为10分，每降低5%扣2分，扣完为止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预算控制率</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资金实际使用情况占预算总数的百分比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计划目标值</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实际资金使用率≥98%为10分，每降低5%扣2分，扣完为止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长期使用性</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可供师生持续使用，保障校内各项活动顺利开展，促进我校德智体美全面发展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计划目标值</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使用年限≥8年为10分，每降低1年扣2分，扣完为止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受益学生率</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改善普通高中学校办学条件补助，反映项目实施后受益学生率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计划目标值</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受益学生比例≥98%为10分，每降低5%扣2分，扣完为止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事故财产损失下降率（%）</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事故财产损失下降率（%）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计划目标值</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事故财产损失的下降率≤20%为10分，每升高5%扣2分。扣完为止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学生满意度</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学生使用满意度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调查问卷</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满意度大于百分之九十五为15分，每降低5%扣2分，扣完为止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社会满意度</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社会各部门对学校的认可度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调查问卷</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满意度大于百分之九十五为15分，每降低5%扣2分，扣完为止</w:t>
            </w:r>
          </w:p>
        </w:tc>
      </w:tr>
    </w:tbl>
    <w:p>
      <w:pPr>
        <w:pStyle w:val="21"/>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2022年，秦皇岛市第一中学安排政府采购预算215.86万元。具体内容见下表。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360003秦皇岛市第一中学</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215.86</w:t>
            </w:r>
          </w:p>
        </w:tc>
        <w:tc>
          <w:tcPr>
            <w:tcW w:w="964" w:type="dxa"/>
            <w:vAlign w:val="center"/>
          </w:tcPr>
          <w:p>
            <w:pPr>
              <w:pStyle w:val="16"/>
            </w:pPr>
            <w:r>
              <w:t>213.06</w:t>
            </w:r>
          </w:p>
        </w:tc>
        <w:tc>
          <w:tcPr>
            <w:tcW w:w="964" w:type="dxa"/>
            <w:vAlign w:val="center"/>
          </w:tcPr>
          <w:p>
            <w:pPr>
              <w:pStyle w:val="16"/>
            </w:pPr>
          </w:p>
        </w:tc>
        <w:tc>
          <w:tcPr>
            <w:tcW w:w="964" w:type="dxa"/>
            <w:vAlign w:val="center"/>
          </w:tcPr>
          <w:p>
            <w:pPr>
              <w:pStyle w:val="16"/>
            </w:pPr>
          </w:p>
        </w:tc>
        <w:tc>
          <w:tcPr>
            <w:tcW w:w="964" w:type="dxa"/>
            <w:vAlign w:val="center"/>
          </w:tcPr>
          <w:p>
            <w:pPr>
              <w:pStyle w:val="16"/>
            </w:pPr>
            <w:r>
              <w:t>2.80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秦皇岛市第一中学小计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215.86</w:t>
            </w:r>
          </w:p>
        </w:tc>
        <w:tc>
          <w:tcPr>
            <w:tcW w:w="964" w:type="dxa"/>
            <w:vAlign w:val="center"/>
          </w:tcPr>
          <w:p>
            <w:pPr>
              <w:pStyle w:val="16"/>
            </w:pPr>
            <w:r>
              <w:t>213.06</w:t>
            </w:r>
          </w:p>
        </w:tc>
        <w:tc>
          <w:tcPr>
            <w:tcW w:w="964" w:type="dxa"/>
            <w:vAlign w:val="center"/>
          </w:tcPr>
          <w:p>
            <w:pPr>
              <w:pStyle w:val="16"/>
            </w:pPr>
          </w:p>
        </w:tc>
        <w:tc>
          <w:tcPr>
            <w:tcW w:w="964" w:type="dxa"/>
            <w:vAlign w:val="center"/>
          </w:tcPr>
          <w:p>
            <w:pPr>
              <w:pStyle w:val="16"/>
            </w:pPr>
          </w:p>
        </w:tc>
        <w:tc>
          <w:tcPr>
            <w:tcW w:w="964" w:type="dxa"/>
            <w:vAlign w:val="center"/>
          </w:tcPr>
          <w:p>
            <w:pPr>
              <w:pStyle w:val="16"/>
            </w:pPr>
            <w:r>
              <w:t>2.80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2022年日常公用经费项目</w:t>
            </w:r>
          </w:p>
        </w:tc>
        <w:tc>
          <w:tcPr>
            <w:tcW w:w="964" w:type="dxa"/>
            <w:vAlign w:val="center"/>
          </w:tcPr>
          <w:p>
            <w:pPr>
              <w:pStyle w:val="14"/>
            </w:pPr>
            <w:r>
              <w:t>121.65</w:t>
            </w:r>
          </w:p>
        </w:tc>
        <w:tc>
          <w:tcPr>
            <w:tcW w:w="1134" w:type="dxa"/>
            <w:vAlign w:val="center"/>
          </w:tcPr>
          <w:p>
            <w:pPr>
              <w:pStyle w:val="13"/>
            </w:pPr>
            <w:r>
              <w:t>车辆维修和保养服务</w:t>
            </w:r>
          </w:p>
        </w:tc>
        <w:tc>
          <w:tcPr>
            <w:tcW w:w="1134" w:type="dxa"/>
            <w:vAlign w:val="center"/>
          </w:tcPr>
          <w:p>
            <w:pPr>
              <w:pStyle w:val="13"/>
            </w:pPr>
            <w:r>
              <w:t>C050301</w:t>
            </w:r>
          </w:p>
        </w:tc>
        <w:tc>
          <w:tcPr>
            <w:tcW w:w="709" w:type="dxa"/>
            <w:vAlign w:val="center"/>
          </w:tcPr>
          <w:p>
            <w:pPr>
              <w:pStyle w:val="12"/>
            </w:pPr>
            <w:r>
              <w:t>车</w:t>
            </w:r>
          </w:p>
        </w:tc>
        <w:tc>
          <w:tcPr>
            <w:tcW w:w="850" w:type="dxa"/>
            <w:vAlign w:val="center"/>
          </w:tcPr>
          <w:p>
            <w:pPr>
              <w:pStyle w:val="14"/>
            </w:pPr>
            <w:r>
              <w:t>1</w:t>
            </w:r>
          </w:p>
        </w:tc>
        <w:tc>
          <w:tcPr>
            <w:tcW w:w="850" w:type="dxa"/>
            <w:vAlign w:val="center"/>
          </w:tcPr>
          <w:p>
            <w:pPr>
              <w:pStyle w:val="14"/>
            </w:pPr>
            <w:r>
              <w:t>1.70</w:t>
            </w:r>
          </w:p>
        </w:tc>
        <w:tc>
          <w:tcPr>
            <w:tcW w:w="964" w:type="dxa"/>
            <w:vAlign w:val="center"/>
          </w:tcPr>
          <w:p>
            <w:pPr>
              <w:pStyle w:val="14"/>
            </w:pPr>
            <w:r>
              <w:t>1.70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1.70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2022年日常公用经费项目</w:t>
            </w:r>
          </w:p>
        </w:tc>
        <w:tc>
          <w:tcPr>
            <w:tcW w:w="964" w:type="dxa"/>
            <w:vAlign w:val="center"/>
          </w:tcPr>
          <w:p>
            <w:pPr>
              <w:pStyle w:val="14"/>
            </w:pPr>
            <w:r>
              <w:t>121.65</w:t>
            </w:r>
          </w:p>
        </w:tc>
        <w:tc>
          <w:tcPr>
            <w:tcW w:w="1134" w:type="dxa"/>
            <w:vAlign w:val="center"/>
          </w:tcPr>
          <w:p>
            <w:pPr>
              <w:pStyle w:val="13"/>
            </w:pPr>
            <w:r>
              <w:t>车辆加油服务</w:t>
            </w:r>
          </w:p>
        </w:tc>
        <w:tc>
          <w:tcPr>
            <w:tcW w:w="1134" w:type="dxa"/>
            <w:vAlign w:val="center"/>
          </w:tcPr>
          <w:p>
            <w:pPr>
              <w:pStyle w:val="13"/>
            </w:pPr>
            <w:r>
              <w:t>C050302</w:t>
            </w:r>
          </w:p>
        </w:tc>
        <w:tc>
          <w:tcPr>
            <w:tcW w:w="709" w:type="dxa"/>
            <w:vAlign w:val="center"/>
          </w:tcPr>
          <w:p>
            <w:pPr>
              <w:pStyle w:val="12"/>
            </w:pPr>
            <w:r>
              <w:t>升</w:t>
            </w:r>
          </w:p>
        </w:tc>
        <w:tc>
          <w:tcPr>
            <w:tcW w:w="850" w:type="dxa"/>
            <w:vAlign w:val="center"/>
          </w:tcPr>
          <w:p>
            <w:pPr>
              <w:pStyle w:val="14"/>
            </w:pPr>
            <w:r>
              <w:t>1</w:t>
            </w:r>
          </w:p>
        </w:tc>
        <w:tc>
          <w:tcPr>
            <w:tcW w:w="850" w:type="dxa"/>
            <w:vAlign w:val="center"/>
          </w:tcPr>
          <w:p>
            <w:pPr>
              <w:pStyle w:val="14"/>
            </w:pPr>
            <w:r>
              <w:t>0.60</w:t>
            </w:r>
          </w:p>
        </w:tc>
        <w:tc>
          <w:tcPr>
            <w:tcW w:w="964" w:type="dxa"/>
            <w:vAlign w:val="center"/>
          </w:tcPr>
          <w:p>
            <w:pPr>
              <w:pStyle w:val="14"/>
            </w:pPr>
            <w:r>
              <w:t>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2022年日常公用经费项目</w:t>
            </w:r>
          </w:p>
        </w:tc>
        <w:tc>
          <w:tcPr>
            <w:tcW w:w="964" w:type="dxa"/>
            <w:vAlign w:val="center"/>
          </w:tcPr>
          <w:p>
            <w:pPr>
              <w:pStyle w:val="14"/>
            </w:pPr>
            <w:r>
              <w:t>121.65</w:t>
            </w:r>
          </w:p>
        </w:tc>
        <w:tc>
          <w:tcPr>
            <w:tcW w:w="1134" w:type="dxa"/>
            <w:vAlign w:val="center"/>
          </w:tcPr>
          <w:p>
            <w:pPr>
              <w:pStyle w:val="13"/>
            </w:pPr>
            <w:r>
              <w:t>机动车保险服务</w:t>
            </w:r>
          </w:p>
        </w:tc>
        <w:tc>
          <w:tcPr>
            <w:tcW w:w="1134" w:type="dxa"/>
            <w:vAlign w:val="center"/>
          </w:tcPr>
          <w:p>
            <w:pPr>
              <w:pStyle w:val="13"/>
            </w:pPr>
            <w:r>
              <w:t>C15040201</w:t>
            </w:r>
          </w:p>
        </w:tc>
        <w:tc>
          <w:tcPr>
            <w:tcW w:w="709" w:type="dxa"/>
            <w:vAlign w:val="center"/>
          </w:tcPr>
          <w:p>
            <w:pPr>
              <w:pStyle w:val="12"/>
            </w:pPr>
            <w:r>
              <w:t>年</w:t>
            </w:r>
          </w:p>
        </w:tc>
        <w:tc>
          <w:tcPr>
            <w:tcW w:w="850" w:type="dxa"/>
            <w:vAlign w:val="center"/>
          </w:tcPr>
          <w:p>
            <w:pPr>
              <w:pStyle w:val="14"/>
            </w:pPr>
            <w:r>
              <w:t>1</w:t>
            </w:r>
          </w:p>
        </w:tc>
        <w:tc>
          <w:tcPr>
            <w:tcW w:w="850" w:type="dxa"/>
            <w:vAlign w:val="center"/>
          </w:tcPr>
          <w:p>
            <w:pPr>
              <w:pStyle w:val="14"/>
            </w:pPr>
            <w:r>
              <w:t>0.50</w:t>
            </w:r>
          </w:p>
        </w:tc>
        <w:tc>
          <w:tcPr>
            <w:tcW w:w="964" w:type="dxa"/>
            <w:vAlign w:val="center"/>
          </w:tcPr>
          <w:p>
            <w:pPr>
              <w:pStyle w:val="14"/>
            </w:pPr>
            <w:r>
              <w:t>0.50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市直高中经费奖补</w:t>
            </w:r>
          </w:p>
        </w:tc>
        <w:tc>
          <w:tcPr>
            <w:tcW w:w="964" w:type="dxa"/>
            <w:vAlign w:val="center"/>
          </w:tcPr>
          <w:p>
            <w:pPr>
              <w:pStyle w:val="14"/>
            </w:pPr>
            <w:r>
              <w:t>780.00</w:t>
            </w:r>
          </w:p>
        </w:tc>
        <w:tc>
          <w:tcPr>
            <w:tcW w:w="1134" w:type="dxa"/>
            <w:vAlign w:val="center"/>
          </w:tcPr>
          <w:p>
            <w:pPr>
              <w:pStyle w:val="13"/>
            </w:pPr>
            <w:r>
              <w:t>便携式计算机</w:t>
            </w:r>
          </w:p>
        </w:tc>
        <w:tc>
          <w:tcPr>
            <w:tcW w:w="1134" w:type="dxa"/>
            <w:vAlign w:val="center"/>
          </w:tcPr>
          <w:p>
            <w:pPr>
              <w:pStyle w:val="13"/>
            </w:pPr>
            <w:r>
              <w:t>A02010105</w:t>
            </w:r>
          </w:p>
        </w:tc>
        <w:tc>
          <w:tcPr>
            <w:tcW w:w="709" w:type="dxa"/>
            <w:vAlign w:val="center"/>
          </w:tcPr>
          <w:p>
            <w:pPr>
              <w:pStyle w:val="12"/>
            </w:pPr>
            <w:r>
              <w:t>台</w:t>
            </w:r>
          </w:p>
        </w:tc>
        <w:tc>
          <w:tcPr>
            <w:tcW w:w="850" w:type="dxa"/>
            <w:vAlign w:val="center"/>
          </w:tcPr>
          <w:p>
            <w:pPr>
              <w:pStyle w:val="14"/>
            </w:pPr>
            <w:r>
              <w:t>15</w:t>
            </w:r>
          </w:p>
        </w:tc>
        <w:tc>
          <w:tcPr>
            <w:tcW w:w="850" w:type="dxa"/>
            <w:vAlign w:val="center"/>
          </w:tcPr>
          <w:p>
            <w:pPr>
              <w:pStyle w:val="14"/>
            </w:pPr>
            <w:r>
              <w:t>0.40</w:t>
            </w:r>
          </w:p>
        </w:tc>
        <w:tc>
          <w:tcPr>
            <w:tcW w:w="964" w:type="dxa"/>
            <w:vAlign w:val="center"/>
          </w:tcPr>
          <w:p>
            <w:pPr>
              <w:pStyle w:val="14"/>
            </w:pPr>
            <w:r>
              <w:t>6.00</w:t>
            </w:r>
          </w:p>
        </w:tc>
        <w:tc>
          <w:tcPr>
            <w:tcW w:w="964" w:type="dxa"/>
            <w:vAlign w:val="center"/>
          </w:tcPr>
          <w:p>
            <w:pPr>
              <w:pStyle w:val="14"/>
            </w:pPr>
            <w:r>
              <w:t>6.00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市直高中经费奖补</w:t>
            </w:r>
          </w:p>
        </w:tc>
        <w:tc>
          <w:tcPr>
            <w:tcW w:w="964" w:type="dxa"/>
            <w:vAlign w:val="center"/>
          </w:tcPr>
          <w:p>
            <w:pPr>
              <w:pStyle w:val="14"/>
            </w:pPr>
            <w:r>
              <w:t>780.00</w:t>
            </w:r>
          </w:p>
        </w:tc>
        <w:tc>
          <w:tcPr>
            <w:tcW w:w="1134" w:type="dxa"/>
            <w:vAlign w:val="center"/>
          </w:tcPr>
          <w:p>
            <w:pPr>
              <w:pStyle w:val="13"/>
            </w:pPr>
            <w:r>
              <w:t>便携式计算机</w:t>
            </w:r>
          </w:p>
        </w:tc>
        <w:tc>
          <w:tcPr>
            <w:tcW w:w="1134" w:type="dxa"/>
            <w:vAlign w:val="center"/>
          </w:tcPr>
          <w:p>
            <w:pPr>
              <w:pStyle w:val="13"/>
            </w:pPr>
            <w:r>
              <w:t>A02010105</w:t>
            </w:r>
          </w:p>
        </w:tc>
        <w:tc>
          <w:tcPr>
            <w:tcW w:w="709" w:type="dxa"/>
            <w:vAlign w:val="center"/>
          </w:tcPr>
          <w:p>
            <w:pPr>
              <w:pStyle w:val="12"/>
            </w:pPr>
            <w:r>
              <w:t>台</w:t>
            </w:r>
          </w:p>
        </w:tc>
        <w:tc>
          <w:tcPr>
            <w:tcW w:w="850" w:type="dxa"/>
            <w:vAlign w:val="center"/>
          </w:tcPr>
          <w:p>
            <w:pPr>
              <w:pStyle w:val="14"/>
            </w:pPr>
            <w:r>
              <w:t>2</w:t>
            </w:r>
          </w:p>
        </w:tc>
        <w:tc>
          <w:tcPr>
            <w:tcW w:w="850" w:type="dxa"/>
            <w:vAlign w:val="center"/>
          </w:tcPr>
          <w:p>
            <w:pPr>
              <w:pStyle w:val="14"/>
            </w:pPr>
            <w:r>
              <w:t>0.50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市直高中经费奖补</w:t>
            </w:r>
          </w:p>
        </w:tc>
        <w:tc>
          <w:tcPr>
            <w:tcW w:w="964" w:type="dxa"/>
            <w:vAlign w:val="center"/>
          </w:tcPr>
          <w:p>
            <w:pPr>
              <w:pStyle w:val="14"/>
            </w:pPr>
            <w:r>
              <w:t>780.00</w:t>
            </w:r>
          </w:p>
        </w:tc>
        <w:tc>
          <w:tcPr>
            <w:tcW w:w="1134" w:type="dxa"/>
            <w:vAlign w:val="center"/>
          </w:tcPr>
          <w:p>
            <w:pPr>
              <w:pStyle w:val="13"/>
            </w:pPr>
            <w:r>
              <w:t>复印纸</w:t>
            </w:r>
          </w:p>
        </w:tc>
        <w:tc>
          <w:tcPr>
            <w:tcW w:w="1134" w:type="dxa"/>
            <w:vAlign w:val="center"/>
          </w:tcPr>
          <w:p>
            <w:pPr>
              <w:pStyle w:val="13"/>
            </w:pPr>
            <w:r>
              <w:t>A090101</w:t>
            </w:r>
          </w:p>
        </w:tc>
        <w:tc>
          <w:tcPr>
            <w:tcW w:w="709" w:type="dxa"/>
            <w:vAlign w:val="center"/>
          </w:tcPr>
          <w:p>
            <w:pPr>
              <w:pStyle w:val="12"/>
            </w:pPr>
            <w:r>
              <w:t>年</w:t>
            </w:r>
          </w:p>
        </w:tc>
        <w:tc>
          <w:tcPr>
            <w:tcW w:w="850" w:type="dxa"/>
            <w:vAlign w:val="center"/>
          </w:tcPr>
          <w:p>
            <w:pPr>
              <w:pStyle w:val="14"/>
            </w:pPr>
            <w:r>
              <w:t>1</w:t>
            </w:r>
          </w:p>
        </w:tc>
        <w:tc>
          <w:tcPr>
            <w:tcW w:w="850" w:type="dxa"/>
            <w:vAlign w:val="center"/>
          </w:tcPr>
          <w:p>
            <w:pPr>
              <w:pStyle w:val="14"/>
            </w:pPr>
            <w:r>
              <w:t>0.20</w:t>
            </w:r>
          </w:p>
        </w:tc>
        <w:tc>
          <w:tcPr>
            <w:tcW w:w="964" w:type="dxa"/>
            <w:vAlign w:val="center"/>
          </w:tcPr>
          <w:p>
            <w:pPr>
              <w:pStyle w:val="14"/>
            </w:pPr>
            <w:r>
              <w:t>0.20</w:t>
            </w:r>
          </w:p>
        </w:tc>
        <w:tc>
          <w:tcPr>
            <w:tcW w:w="964" w:type="dxa"/>
            <w:vAlign w:val="center"/>
          </w:tcPr>
          <w:p>
            <w:pPr>
              <w:pStyle w:val="14"/>
            </w:pPr>
            <w:r>
              <w:t>0.20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市直高中经费奖补</w:t>
            </w:r>
          </w:p>
        </w:tc>
        <w:tc>
          <w:tcPr>
            <w:tcW w:w="964" w:type="dxa"/>
            <w:vAlign w:val="center"/>
          </w:tcPr>
          <w:p>
            <w:pPr>
              <w:pStyle w:val="14"/>
            </w:pPr>
            <w:r>
              <w:t>780.00</w:t>
            </w:r>
          </w:p>
        </w:tc>
        <w:tc>
          <w:tcPr>
            <w:tcW w:w="1134" w:type="dxa"/>
            <w:vAlign w:val="center"/>
          </w:tcPr>
          <w:p>
            <w:pPr>
              <w:pStyle w:val="13"/>
            </w:pPr>
            <w:r>
              <w:t>其他印刷服务</w:t>
            </w:r>
          </w:p>
        </w:tc>
        <w:tc>
          <w:tcPr>
            <w:tcW w:w="1134" w:type="dxa"/>
            <w:vAlign w:val="center"/>
          </w:tcPr>
          <w:p>
            <w:pPr>
              <w:pStyle w:val="13"/>
            </w:pPr>
            <w:r>
              <w:t>C08140199</w:t>
            </w:r>
          </w:p>
        </w:tc>
        <w:tc>
          <w:tcPr>
            <w:tcW w:w="709" w:type="dxa"/>
            <w:vAlign w:val="center"/>
          </w:tcPr>
          <w:p>
            <w:pPr>
              <w:pStyle w:val="12"/>
            </w:pPr>
            <w:r>
              <w:t>年</w:t>
            </w:r>
          </w:p>
        </w:tc>
        <w:tc>
          <w:tcPr>
            <w:tcW w:w="850" w:type="dxa"/>
            <w:vAlign w:val="center"/>
          </w:tcPr>
          <w:p>
            <w:pPr>
              <w:pStyle w:val="14"/>
            </w:pPr>
            <w:r>
              <w:t>1</w:t>
            </w:r>
          </w:p>
        </w:tc>
        <w:tc>
          <w:tcPr>
            <w:tcW w:w="850" w:type="dxa"/>
            <w:vAlign w:val="center"/>
          </w:tcPr>
          <w:p>
            <w:pPr>
              <w:pStyle w:val="14"/>
            </w:pPr>
            <w:r>
              <w:t>1.00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市直高中经费奖补</w:t>
            </w:r>
          </w:p>
        </w:tc>
        <w:tc>
          <w:tcPr>
            <w:tcW w:w="964" w:type="dxa"/>
            <w:vAlign w:val="center"/>
          </w:tcPr>
          <w:p>
            <w:pPr>
              <w:pStyle w:val="14"/>
            </w:pPr>
            <w:r>
              <w:t>780.00</w:t>
            </w:r>
          </w:p>
        </w:tc>
        <w:tc>
          <w:tcPr>
            <w:tcW w:w="1134" w:type="dxa"/>
            <w:vAlign w:val="center"/>
          </w:tcPr>
          <w:p>
            <w:pPr>
              <w:pStyle w:val="13"/>
            </w:pPr>
            <w:r>
              <w:t>物业管理服务</w:t>
            </w:r>
          </w:p>
        </w:tc>
        <w:tc>
          <w:tcPr>
            <w:tcW w:w="1134" w:type="dxa"/>
            <w:vAlign w:val="center"/>
          </w:tcPr>
          <w:p>
            <w:pPr>
              <w:pStyle w:val="13"/>
            </w:pPr>
            <w:r>
              <w:t>C1204</w:t>
            </w:r>
          </w:p>
        </w:tc>
        <w:tc>
          <w:tcPr>
            <w:tcW w:w="709" w:type="dxa"/>
            <w:vAlign w:val="center"/>
          </w:tcPr>
          <w:p>
            <w:pPr>
              <w:pStyle w:val="12"/>
            </w:pPr>
            <w:r>
              <w:t>年</w:t>
            </w:r>
          </w:p>
        </w:tc>
        <w:tc>
          <w:tcPr>
            <w:tcW w:w="850" w:type="dxa"/>
            <w:vAlign w:val="center"/>
          </w:tcPr>
          <w:p>
            <w:pPr>
              <w:pStyle w:val="14"/>
            </w:pPr>
            <w:r>
              <w:t>1</w:t>
            </w:r>
          </w:p>
        </w:tc>
        <w:tc>
          <w:tcPr>
            <w:tcW w:w="850" w:type="dxa"/>
            <w:vAlign w:val="center"/>
          </w:tcPr>
          <w:p>
            <w:pPr>
              <w:pStyle w:val="14"/>
            </w:pPr>
            <w:r>
              <w:t>204.86</w:t>
            </w:r>
          </w:p>
        </w:tc>
        <w:tc>
          <w:tcPr>
            <w:tcW w:w="964" w:type="dxa"/>
            <w:vAlign w:val="center"/>
          </w:tcPr>
          <w:p>
            <w:pPr>
              <w:pStyle w:val="14"/>
            </w:pPr>
            <w:r>
              <w:t>204.86</w:t>
            </w:r>
          </w:p>
        </w:tc>
        <w:tc>
          <w:tcPr>
            <w:tcW w:w="964" w:type="dxa"/>
            <w:vAlign w:val="center"/>
          </w:tcPr>
          <w:p>
            <w:pPr>
              <w:pStyle w:val="14"/>
            </w:pPr>
            <w:r>
              <w:t>204.86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204.86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秦皇岛市第一中学上年末固定资产金额为</w:t>
      </w:r>
      <w:r>
        <w:rPr>
          <w:rFonts w:hint="eastAsia" w:eastAsiaTheme="minorEastAsia"/>
          <w:color w:val="000000"/>
          <w:sz w:val="28"/>
          <w:lang w:eastAsia="zh-CN"/>
        </w:rPr>
        <w:t>5105.96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360003秦皇岛市第一中学</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rPr>
                <w:lang w:eastAsia="zh-CN"/>
              </w:rPr>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7370" w:type="dxa"/>
            <w:vAlign w:val="center"/>
          </w:tcPr>
          <w:p>
            <w:pPr>
              <w:pStyle w:val="13"/>
              <w:rPr>
                <w:lang w:eastAsia="zh-CN"/>
              </w:rPr>
            </w:pPr>
            <w:r>
              <w:rPr>
                <w:rFonts w:hint="eastAsia"/>
                <w:lang w:eastAsia="zh-CN"/>
              </w:rPr>
              <w:t>土地、房屋及构筑物</w:t>
            </w:r>
          </w:p>
        </w:tc>
        <w:tc>
          <w:tcPr>
            <w:tcW w:w="2835" w:type="dxa"/>
            <w:vAlign w:val="center"/>
          </w:tcPr>
          <w:p>
            <w:pPr>
              <w:pStyle w:val="12"/>
              <w:rPr>
                <w:lang w:eastAsia="zh-CN"/>
              </w:rPr>
            </w:pPr>
            <w:r>
              <w:rPr>
                <w:rFonts w:hint="eastAsia"/>
                <w:lang w:eastAsia="zh-CN"/>
              </w:rPr>
              <w:t>32</w:t>
            </w:r>
          </w:p>
        </w:tc>
        <w:tc>
          <w:tcPr>
            <w:tcW w:w="2835" w:type="dxa"/>
            <w:vAlign w:val="center"/>
          </w:tcPr>
          <w:p>
            <w:pPr>
              <w:pStyle w:val="14"/>
              <w:rPr>
                <w:lang w:eastAsia="zh-CN"/>
              </w:rPr>
            </w:pPr>
            <w:r>
              <w:rPr>
                <w:rFonts w:hint="eastAsia"/>
                <w:lang w:eastAsia="zh-CN"/>
              </w:rPr>
              <w:t>1129.98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7370" w:type="dxa"/>
            <w:vAlign w:val="center"/>
          </w:tcPr>
          <w:p>
            <w:pPr>
              <w:pStyle w:val="13"/>
              <w:rPr>
                <w:lang w:eastAsia="zh-CN"/>
              </w:rPr>
            </w:pPr>
            <w:r>
              <w:rPr>
                <w:rFonts w:hint="eastAsia"/>
                <w:lang w:eastAsia="zh-CN"/>
              </w:rPr>
              <w:t>通用设备</w:t>
            </w:r>
          </w:p>
        </w:tc>
        <w:tc>
          <w:tcPr>
            <w:tcW w:w="2835" w:type="dxa"/>
            <w:vAlign w:val="center"/>
          </w:tcPr>
          <w:p>
            <w:pPr>
              <w:pStyle w:val="12"/>
              <w:rPr>
                <w:lang w:eastAsia="zh-CN"/>
              </w:rPr>
            </w:pPr>
            <w:r>
              <w:rPr>
                <w:rFonts w:hint="eastAsia"/>
                <w:lang w:eastAsia="zh-CN"/>
              </w:rPr>
              <w:t>4481</w:t>
            </w:r>
          </w:p>
        </w:tc>
        <w:tc>
          <w:tcPr>
            <w:tcW w:w="2835" w:type="dxa"/>
            <w:vAlign w:val="center"/>
          </w:tcPr>
          <w:p>
            <w:pPr>
              <w:pStyle w:val="14"/>
              <w:rPr>
                <w:lang w:eastAsia="zh-CN"/>
              </w:rPr>
            </w:pPr>
            <w:r>
              <w:rPr>
                <w:rFonts w:hint="eastAsia"/>
                <w:lang w:eastAsia="zh-CN"/>
              </w:rPr>
              <w:t>2138.09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7370" w:type="dxa"/>
            <w:vAlign w:val="center"/>
          </w:tcPr>
          <w:p>
            <w:pPr>
              <w:pStyle w:val="13"/>
              <w:rPr>
                <w:lang w:eastAsia="zh-CN"/>
              </w:rPr>
            </w:pPr>
            <w:r>
              <w:rPr>
                <w:rFonts w:hint="eastAsia"/>
                <w:lang w:eastAsia="zh-CN"/>
              </w:rPr>
              <w:t>专用设备</w:t>
            </w:r>
          </w:p>
        </w:tc>
        <w:tc>
          <w:tcPr>
            <w:tcW w:w="2835" w:type="dxa"/>
            <w:vAlign w:val="center"/>
          </w:tcPr>
          <w:p>
            <w:pPr>
              <w:pStyle w:val="12"/>
              <w:rPr>
                <w:lang w:eastAsia="zh-CN"/>
              </w:rPr>
            </w:pPr>
            <w:r>
              <w:rPr>
                <w:rFonts w:hint="eastAsia"/>
                <w:lang w:eastAsia="zh-CN"/>
              </w:rPr>
              <w:t>1912</w:t>
            </w:r>
          </w:p>
        </w:tc>
        <w:tc>
          <w:tcPr>
            <w:tcW w:w="2835" w:type="dxa"/>
            <w:vAlign w:val="center"/>
          </w:tcPr>
          <w:p>
            <w:pPr>
              <w:pStyle w:val="14"/>
              <w:rPr>
                <w:lang w:eastAsia="zh-CN"/>
              </w:rPr>
            </w:pPr>
            <w:r>
              <w:rPr>
                <w:rFonts w:hint="eastAsia"/>
                <w:lang w:eastAsia="zh-CN"/>
              </w:rPr>
              <w:t>577.46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7370" w:type="dxa"/>
            <w:vAlign w:val="center"/>
          </w:tcPr>
          <w:p>
            <w:pPr>
              <w:pStyle w:val="13"/>
              <w:rPr>
                <w:lang w:eastAsia="zh-CN"/>
              </w:rPr>
            </w:pPr>
            <w:r>
              <w:rPr>
                <w:rFonts w:hint="eastAsia"/>
                <w:lang w:eastAsia="zh-CN"/>
              </w:rPr>
              <w:t>文物和陈列品</w:t>
            </w:r>
          </w:p>
        </w:tc>
        <w:tc>
          <w:tcPr>
            <w:tcW w:w="2835" w:type="dxa"/>
            <w:vAlign w:val="center"/>
          </w:tcPr>
          <w:p>
            <w:pPr>
              <w:pStyle w:val="12"/>
              <w:rPr>
                <w:lang w:eastAsia="zh-CN"/>
              </w:rPr>
            </w:pPr>
            <w:r>
              <w:rPr>
                <w:rFonts w:hint="eastAsia"/>
                <w:lang w:eastAsia="zh-CN"/>
              </w:rPr>
              <w:t>6</w:t>
            </w:r>
          </w:p>
        </w:tc>
        <w:tc>
          <w:tcPr>
            <w:tcW w:w="2835" w:type="dxa"/>
            <w:vAlign w:val="center"/>
          </w:tcPr>
          <w:p>
            <w:pPr>
              <w:pStyle w:val="14"/>
              <w:rPr>
                <w:lang w:eastAsia="zh-CN"/>
              </w:rPr>
            </w:pPr>
            <w:r>
              <w:rPr>
                <w:rFonts w:hint="eastAsia"/>
                <w:lang w:eastAsia="zh-CN"/>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7370" w:type="dxa"/>
            <w:vAlign w:val="center"/>
          </w:tcPr>
          <w:p>
            <w:pPr>
              <w:pStyle w:val="13"/>
              <w:rPr>
                <w:lang w:eastAsia="zh-CN"/>
              </w:rPr>
            </w:pPr>
            <w:r>
              <w:rPr>
                <w:rFonts w:hint="eastAsia"/>
                <w:lang w:eastAsia="zh-CN"/>
              </w:rPr>
              <w:t>图书、档案</w:t>
            </w:r>
          </w:p>
        </w:tc>
        <w:tc>
          <w:tcPr>
            <w:tcW w:w="2835" w:type="dxa"/>
            <w:vAlign w:val="center"/>
          </w:tcPr>
          <w:p>
            <w:pPr>
              <w:pStyle w:val="12"/>
              <w:rPr>
                <w:lang w:eastAsia="zh-CN"/>
              </w:rPr>
            </w:pPr>
            <w:r>
              <w:rPr>
                <w:rFonts w:hint="eastAsia"/>
                <w:lang w:eastAsia="zh-CN"/>
              </w:rPr>
              <w:t>119784</w:t>
            </w:r>
          </w:p>
        </w:tc>
        <w:tc>
          <w:tcPr>
            <w:tcW w:w="2835" w:type="dxa"/>
            <w:vAlign w:val="center"/>
          </w:tcPr>
          <w:p>
            <w:pPr>
              <w:pStyle w:val="14"/>
              <w:rPr>
                <w:lang w:eastAsia="zh-CN"/>
              </w:rPr>
            </w:pPr>
            <w:r>
              <w:rPr>
                <w:rFonts w:hint="eastAsia"/>
                <w:lang w:eastAsia="zh-CN"/>
              </w:rPr>
              <w:t>116.49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7370" w:type="dxa"/>
            <w:vAlign w:val="center"/>
          </w:tcPr>
          <w:p>
            <w:pPr>
              <w:pStyle w:val="13"/>
              <w:rPr>
                <w:lang w:eastAsia="zh-CN"/>
              </w:rPr>
            </w:pPr>
            <w:r>
              <w:rPr>
                <w:rFonts w:hint="eastAsia"/>
                <w:lang w:eastAsia="zh-CN"/>
              </w:rPr>
              <w:t>家具用具</w:t>
            </w:r>
          </w:p>
        </w:tc>
        <w:tc>
          <w:tcPr>
            <w:tcW w:w="2835" w:type="dxa"/>
            <w:vAlign w:val="center"/>
          </w:tcPr>
          <w:p>
            <w:pPr>
              <w:pStyle w:val="12"/>
              <w:rPr>
                <w:lang w:eastAsia="zh-CN"/>
              </w:rPr>
            </w:pPr>
            <w:r>
              <w:rPr>
                <w:rFonts w:hint="eastAsia"/>
                <w:lang w:eastAsia="zh-CN"/>
              </w:rPr>
              <w:t>28862</w:t>
            </w:r>
          </w:p>
        </w:tc>
        <w:tc>
          <w:tcPr>
            <w:tcW w:w="2835" w:type="dxa"/>
            <w:vAlign w:val="center"/>
          </w:tcPr>
          <w:p>
            <w:pPr>
              <w:pStyle w:val="14"/>
              <w:rPr>
                <w:lang w:eastAsia="zh-CN"/>
              </w:rPr>
            </w:pPr>
            <w:r>
              <w:rPr>
                <w:rFonts w:hint="eastAsia"/>
                <w:lang w:eastAsia="zh-CN"/>
              </w:rPr>
              <w:t>1141.54</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指市级财政当年拨付的资金。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市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lang w:val="uk-UA"/>
        </w:rPr>
      </w:pPr>
      <w:r>
        <w:rPr>
          <w:rFonts w:eastAsia="方正仿宋_GBK"/>
          <w:color w:val="000000"/>
          <w:sz w:val="28"/>
        </w:rPr>
        <w:t>我单位无其他需要说明的事项。</w:t>
      </w: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219</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A8F38"/>
    <w:multiLevelType w:val="singleLevel"/>
    <w:tmpl w:val="589A8F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mJhNGRkYjc4NTRiNDcwNTQ1M2YwNzZiYWEwMTYifQ=="/>
  </w:docVars>
  <w:rsids>
    <w:rsidRoot w:val="00000000"/>
    <w:rsid w:val="0E236ADA"/>
    <w:rsid w:val="12E84C83"/>
    <w:rsid w:val="170753AD"/>
    <w:rsid w:val="32C3136A"/>
    <w:rsid w:val="55650D7C"/>
    <w:rsid w:val="69ED3CC3"/>
    <w:rsid w:val="786B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0"/>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styleId="4">
    <w:name w:val="toc 2"/>
    <w:basedOn w:val="1"/>
    <w:next w:val="1"/>
    <w:unhideWhenUsed/>
    <w:qFormat/>
    <w:uiPriority w:val="0"/>
    <w:pPr>
      <w:ind w:left="420" w:leftChars="200"/>
    </w:pPr>
  </w:style>
  <w:style w:type="character" w:styleId="7">
    <w:name w:val="page number"/>
    <w:unhideWhenUsed/>
    <w:uiPriority w:val="0"/>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Normal_6bdff558-e084-4f8a-86b5-cd675f6e90d1"/>
    <w:qFormat/>
    <w:uiPriority w:val="0"/>
    <w:rPr>
      <w:rFonts w:ascii="Times New Roman" w:hAnsi="Times New Roman" w:eastAsia="Times New Roman" w:cs="Times New Roman"/>
      <w:sz w:val="24"/>
      <w:szCs w:val="24"/>
      <w:lang w:val="en-US" w:eastAsia="uk-UA" w:bidi="ar-SA"/>
    </w:rPr>
  </w:style>
  <w:style w:type="paragraph" w:customStyle="1" w:styleId="22">
    <w:name w:val="单元格样式1_52576361-beaf-4cef-b5d4-affb7b32745c"/>
    <w:basedOn w:val="1"/>
    <w:qFormat/>
    <w:uiPriority w:val="0"/>
    <w:pPr>
      <w:jc w:val="center"/>
    </w:pPr>
    <w:rPr>
      <w:rFonts w:ascii="方正书宋_GBK" w:hAnsi="方正书宋_GBK" w:eastAsia="方正书宋_GBK" w:cs="方正书宋_GBK"/>
      <w:b/>
      <w:sz w:val="21"/>
    </w:rPr>
  </w:style>
  <w:style w:type="paragraph" w:customStyle="1" w:styleId="23">
    <w:name w:val="单元格样式2_87862210-5576-4a4e-b3c4-f973347197d1"/>
    <w:basedOn w:val="1"/>
    <w:qFormat/>
    <w:uiPriority w:val="0"/>
    <w:rPr>
      <w:rFonts w:ascii="方正书宋_GBK" w:hAnsi="方正书宋_GBK" w:eastAsia="方正书宋_GBK" w:cs="方正书宋_GBK"/>
      <w:sz w:val="21"/>
    </w:rPr>
  </w:style>
  <w:style w:type="paragraph" w:customStyle="1" w:styleId="24">
    <w:name w:val="单元格样式3_fb1cd348-a1dd-43ff-913b-f1b4ba733c24"/>
    <w:basedOn w:val="1"/>
    <w:qFormat/>
    <w:uiPriority w:val="0"/>
    <w:pPr>
      <w:jc w:val="center"/>
    </w:pPr>
    <w:rPr>
      <w:rFonts w:ascii="方正书宋_GBK" w:hAnsi="方正书宋_GBK" w:eastAsia="方正书宋_GBK" w:cs="方正书宋_GBK"/>
      <w:sz w:val="21"/>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5808</Words>
  <Characters>7232</Characters>
  <Lines>0</Lines>
  <Paragraphs>0</Paragraphs>
  <TotalTime>2</TotalTime>
  <ScaleCrop>false</ScaleCrop>
  <LinksUpToDate>false</LinksUpToDate>
  <CharactersWithSpaces>7390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2022-09-16T01:18:00Z</dcterms:created>
  <dc:creator>ZSH</dc:creator>
  <cp:lastModifiedBy>WYL</cp:lastModifiedBy>
  <dcterms:modified xsi:type="dcterms:W3CDTF">2022-09-16T08:22:15Z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73814D9498BB46F691930F76682FA4A0</vt:lpwstr>
  </property>
</Properties>
</file>